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5DF" w:rsidRPr="00432C4B" w:rsidRDefault="005435DF" w:rsidP="005435DF">
      <w:pPr>
        <w:pStyle w:val="Ttulo"/>
        <w:ind w:left="0"/>
        <w:rPr>
          <w:rFonts w:ascii="Century Gothic" w:hAnsi="Century Gothic"/>
          <w:color w:val="000000"/>
          <w:sz w:val="24"/>
          <w:szCs w:val="24"/>
          <w:lang w:val="pt-BR"/>
        </w:rPr>
      </w:pPr>
      <w:bookmarkStart w:id="0" w:name="_GoBack"/>
      <w:bookmarkEnd w:id="0"/>
      <w:r w:rsidRPr="00FC71BF">
        <w:rPr>
          <w:rFonts w:ascii="Century Gothic" w:hAnsi="Century Gothic"/>
          <w:color w:val="000000"/>
          <w:sz w:val="24"/>
          <w:szCs w:val="24"/>
        </w:rPr>
        <w:t xml:space="preserve">ATA DE REGISTRO DE PREÇOS  </w:t>
      </w:r>
      <w:r>
        <w:rPr>
          <w:rFonts w:ascii="Century Gothic" w:hAnsi="Century Gothic"/>
          <w:color w:val="000000"/>
          <w:sz w:val="24"/>
          <w:szCs w:val="24"/>
          <w:lang w:val="pt-BR"/>
        </w:rPr>
        <w:t>07</w:t>
      </w:r>
      <w:r>
        <w:rPr>
          <w:rFonts w:ascii="Century Gothic" w:hAnsi="Century Gothic"/>
          <w:color w:val="000000"/>
          <w:sz w:val="24"/>
          <w:szCs w:val="24"/>
          <w:lang w:val="pt-BR"/>
        </w:rPr>
        <w:t>5</w:t>
      </w:r>
      <w:r>
        <w:rPr>
          <w:rFonts w:ascii="Century Gothic" w:hAnsi="Century Gothic"/>
          <w:color w:val="000000"/>
          <w:sz w:val="24"/>
          <w:szCs w:val="24"/>
          <w:lang w:val="pt-BR"/>
        </w:rPr>
        <w:t>/2015</w:t>
      </w:r>
    </w:p>
    <w:p w:rsidR="005435DF" w:rsidRPr="00FC71BF" w:rsidRDefault="005435DF" w:rsidP="005435DF">
      <w:pPr>
        <w:pStyle w:val="Ttulo"/>
        <w:ind w:left="0"/>
        <w:rPr>
          <w:rFonts w:ascii="Century Gothic" w:hAnsi="Century Gothic"/>
          <w:color w:val="000000"/>
          <w:sz w:val="24"/>
          <w:szCs w:val="24"/>
        </w:rPr>
      </w:pPr>
    </w:p>
    <w:p w:rsidR="005435DF" w:rsidRPr="00FC71BF" w:rsidRDefault="005435DF" w:rsidP="005435DF">
      <w:pPr>
        <w:autoSpaceDE w:val="0"/>
        <w:autoSpaceDN w:val="0"/>
        <w:adjustRightInd w:val="0"/>
        <w:jc w:val="both"/>
        <w:rPr>
          <w:rFonts w:ascii="Century Gothic" w:hAnsi="Century Gothic" w:cs="Arial"/>
          <w:b/>
          <w:bCs/>
          <w:noProof/>
          <w:color w:val="000000"/>
          <w:sz w:val="24"/>
          <w:szCs w:val="24"/>
        </w:rPr>
      </w:pPr>
      <w:r w:rsidRPr="00FC71BF">
        <w:rPr>
          <w:rFonts w:ascii="Century Gothic" w:hAnsi="Century Gothic"/>
          <w:b/>
          <w:color w:val="000000"/>
          <w:sz w:val="24"/>
          <w:szCs w:val="24"/>
        </w:rPr>
        <w:t>Contratação de Empresa para Fornecimentos de Equipamentos, Instrumentais e Aparelhos de uso Hospitalar, para atender as necessidades da Secretaria de Saúde da Prefeitura Municipal de Conceição dos Ouros/MG.</w:t>
      </w:r>
    </w:p>
    <w:p w:rsidR="005435DF" w:rsidRPr="00FC71BF" w:rsidRDefault="005435DF" w:rsidP="005435DF">
      <w:pPr>
        <w:rPr>
          <w:rFonts w:ascii="Century Gothic" w:hAnsi="Century Gothic"/>
          <w:color w:val="000000"/>
          <w:sz w:val="24"/>
          <w:szCs w:val="24"/>
        </w:rPr>
      </w:pPr>
    </w:p>
    <w:p w:rsidR="005435DF" w:rsidRPr="00FC71BF" w:rsidRDefault="005435DF" w:rsidP="005435DF">
      <w:pPr>
        <w:autoSpaceDE w:val="0"/>
        <w:autoSpaceDN w:val="0"/>
        <w:adjustRightInd w:val="0"/>
        <w:jc w:val="both"/>
        <w:rPr>
          <w:rFonts w:ascii="Century Gothic" w:hAnsi="Century Gothic"/>
          <w:color w:val="000000"/>
          <w:sz w:val="24"/>
          <w:szCs w:val="24"/>
        </w:rPr>
      </w:pPr>
      <w:r w:rsidRPr="00FC71BF">
        <w:rPr>
          <w:rFonts w:ascii="Century Gothic" w:hAnsi="Century Gothic"/>
          <w:color w:val="000000"/>
          <w:sz w:val="24"/>
          <w:szCs w:val="24"/>
        </w:rPr>
        <w:t xml:space="preserve">Aos </w:t>
      </w:r>
      <w:r>
        <w:rPr>
          <w:rFonts w:ascii="Century Gothic" w:hAnsi="Century Gothic"/>
          <w:color w:val="000000"/>
          <w:sz w:val="24"/>
          <w:szCs w:val="24"/>
        </w:rPr>
        <w:t>26</w:t>
      </w:r>
      <w:r w:rsidRPr="00FC71BF">
        <w:rPr>
          <w:rFonts w:ascii="Century Gothic" w:hAnsi="Century Gothic"/>
          <w:color w:val="000000"/>
          <w:sz w:val="24"/>
          <w:szCs w:val="24"/>
        </w:rPr>
        <w:t xml:space="preserve"> dias do mês de </w:t>
      </w:r>
      <w:r>
        <w:rPr>
          <w:rFonts w:ascii="Century Gothic" w:hAnsi="Century Gothic"/>
          <w:color w:val="000000"/>
          <w:sz w:val="24"/>
          <w:szCs w:val="24"/>
        </w:rPr>
        <w:t>Agosto</w:t>
      </w:r>
      <w:r w:rsidRPr="00FC71BF">
        <w:rPr>
          <w:rFonts w:ascii="Century Gothic" w:hAnsi="Century Gothic"/>
          <w:color w:val="000000"/>
          <w:sz w:val="24"/>
          <w:szCs w:val="24"/>
        </w:rPr>
        <w:t xml:space="preserve"> de 2015, no Prédio da Sede da Prefeitura Municipal de CONCEIÇÃO DOS OUROS, situado à Praça José Maria de Souza, nº01, Centro, 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033/2015, por deliberação do Pregoeiro do município, resolve registrar os preços para a </w:t>
      </w:r>
      <w:r w:rsidRPr="00FC71BF">
        <w:rPr>
          <w:rFonts w:ascii="Century Gothic" w:hAnsi="Century Gothic"/>
          <w:b/>
          <w:color w:val="000000"/>
          <w:sz w:val="24"/>
          <w:szCs w:val="24"/>
        </w:rPr>
        <w:t>Contratação de Empresa para Fornecimentos de Equipamentos, Instrumentais e Aparelhos de uso Hospitalar, para atender as necessidades da Secretaria de Saúde da Prefeitura Municipal de Conceição dos Ouros/MG,</w:t>
      </w:r>
      <w:r w:rsidRPr="00FC71BF">
        <w:rPr>
          <w:rFonts w:ascii="Century Gothic" w:hAnsi="Century Gothic"/>
          <w:color w:val="000000"/>
          <w:sz w:val="24"/>
          <w:szCs w:val="24"/>
        </w:rPr>
        <w:t xml:space="preserve"> tendo sido os referidos Preços </w:t>
      </w:r>
      <w:r>
        <w:rPr>
          <w:rFonts w:ascii="Century Gothic" w:hAnsi="Century Gothic"/>
          <w:color w:val="000000"/>
          <w:sz w:val="24"/>
          <w:szCs w:val="24"/>
        </w:rPr>
        <w:t xml:space="preserve">oferecidos pela empresa </w:t>
      </w:r>
      <w:r w:rsidR="00095FC3" w:rsidRPr="00373E5D">
        <w:rPr>
          <w:rFonts w:ascii="Century Gothic" w:hAnsi="Century Gothic"/>
          <w:b/>
          <w:snapToGrid w:val="0"/>
          <w:sz w:val="24"/>
          <w:szCs w:val="24"/>
        </w:rPr>
        <w:t>MED CENTER COMERCIAL LTDA.</w:t>
      </w:r>
      <w:r w:rsidR="00095FC3" w:rsidRPr="00373E5D">
        <w:rPr>
          <w:rFonts w:ascii="Century Gothic" w:hAnsi="Century Gothic"/>
          <w:snapToGrid w:val="0"/>
          <w:sz w:val="24"/>
          <w:szCs w:val="24"/>
        </w:rPr>
        <w:t xml:space="preserve">, estabelecida à Rod. Juscelino Kubitschek de Oliveira, BR 459, KM. 99, S/N, Bairro Santa </w:t>
      </w:r>
      <w:proofErr w:type="spellStart"/>
      <w:r w:rsidR="00095FC3" w:rsidRPr="00373E5D">
        <w:rPr>
          <w:rFonts w:ascii="Century Gothic" w:hAnsi="Century Gothic"/>
          <w:snapToGrid w:val="0"/>
          <w:sz w:val="24"/>
          <w:szCs w:val="24"/>
        </w:rPr>
        <w:t>Edwirges</w:t>
      </w:r>
      <w:proofErr w:type="spellEnd"/>
      <w:r w:rsidR="00095FC3" w:rsidRPr="00373E5D">
        <w:rPr>
          <w:rFonts w:ascii="Century Gothic" w:hAnsi="Century Gothic"/>
          <w:snapToGrid w:val="0"/>
          <w:sz w:val="24"/>
          <w:szCs w:val="24"/>
        </w:rPr>
        <w:t xml:space="preserve">, na cidade de Pouso Alegre, inscrita no CNPJ sob o n.º 00.874.929/0001-40, I.E. 3525949584.00-34, representada neste ato, pelo Sr. (a) Márcia Pereira Daniel </w:t>
      </w:r>
      <w:proofErr w:type="spellStart"/>
      <w:r w:rsidR="00095FC3" w:rsidRPr="00373E5D">
        <w:rPr>
          <w:rFonts w:ascii="Century Gothic" w:hAnsi="Century Gothic"/>
          <w:snapToGrid w:val="0"/>
          <w:sz w:val="24"/>
          <w:szCs w:val="24"/>
        </w:rPr>
        <w:t>Mery</w:t>
      </w:r>
      <w:proofErr w:type="spellEnd"/>
      <w:r w:rsidR="00095FC3" w:rsidRPr="00373E5D">
        <w:rPr>
          <w:rFonts w:ascii="Century Gothic" w:hAnsi="Century Gothic"/>
          <w:snapToGrid w:val="0"/>
          <w:sz w:val="24"/>
          <w:szCs w:val="24"/>
        </w:rPr>
        <w:t>, portadora de R.G. n.º MG – 3.657.224 e CPF n.º 589845186-20 e cuja proposta foi classificada em primeiro lugar</w:t>
      </w:r>
      <w:r w:rsidRPr="00FC71BF">
        <w:rPr>
          <w:rFonts w:ascii="Century Gothic" w:hAnsi="Century Gothic"/>
          <w:color w:val="000000"/>
          <w:sz w:val="24"/>
          <w:szCs w:val="24"/>
        </w:rPr>
        <w:t>, observadas as condições enunciadas nas Cláusulas que se seguem.</w:t>
      </w:r>
    </w:p>
    <w:p w:rsidR="005435DF" w:rsidRPr="00FC71BF" w:rsidRDefault="005435DF" w:rsidP="005435DF">
      <w:pPr>
        <w:tabs>
          <w:tab w:val="right" w:pos="9117"/>
        </w:tabs>
        <w:jc w:val="both"/>
        <w:rPr>
          <w:rFonts w:ascii="Century Gothic" w:hAnsi="Century Gothic" w:cs="Arial"/>
          <w:snapToGrid w:val="0"/>
          <w:color w:val="000000"/>
          <w:sz w:val="24"/>
          <w:szCs w:val="24"/>
        </w:rPr>
      </w:pPr>
    </w:p>
    <w:p w:rsidR="005435DF" w:rsidRPr="00FC71BF" w:rsidRDefault="005435DF" w:rsidP="005435DF">
      <w:pPr>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PRIMEIRA - DO OBJETO:</w:t>
      </w:r>
    </w:p>
    <w:p w:rsidR="005435DF" w:rsidRPr="00FC71BF" w:rsidRDefault="005435DF" w:rsidP="005435DF">
      <w:pPr>
        <w:jc w:val="both"/>
        <w:rPr>
          <w:rFonts w:ascii="Century Gothic" w:hAnsi="Century Gothic"/>
          <w:b/>
          <w:snapToGrid w:val="0"/>
          <w:color w:val="000000"/>
          <w:sz w:val="24"/>
          <w:szCs w:val="24"/>
        </w:rPr>
      </w:pPr>
    </w:p>
    <w:p w:rsidR="005435DF" w:rsidRPr="00FC71BF" w:rsidRDefault="005435DF" w:rsidP="005435DF">
      <w:pPr>
        <w:autoSpaceDE w:val="0"/>
        <w:autoSpaceDN w:val="0"/>
        <w:adjustRightInd w:val="0"/>
        <w:jc w:val="both"/>
        <w:rPr>
          <w:rFonts w:ascii="Century Gothic" w:hAnsi="Century Gothic" w:cs="Arial"/>
          <w:b/>
          <w:bCs/>
          <w:noProof/>
          <w:color w:val="000000"/>
          <w:sz w:val="24"/>
          <w:szCs w:val="24"/>
        </w:rPr>
      </w:pPr>
      <w:r w:rsidRPr="00FC71BF">
        <w:rPr>
          <w:rFonts w:ascii="Century Gothic" w:hAnsi="Century Gothic"/>
          <w:snapToGrid w:val="0"/>
          <w:color w:val="000000"/>
          <w:sz w:val="24"/>
          <w:szCs w:val="24"/>
        </w:rPr>
        <w:t xml:space="preserve">Constitui objeto principal do presente instrumento, o Registro de Preços para a </w:t>
      </w:r>
      <w:r w:rsidRPr="00FC71BF">
        <w:rPr>
          <w:rFonts w:ascii="Century Gothic" w:hAnsi="Century Gothic"/>
          <w:b/>
          <w:color w:val="000000"/>
          <w:sz w:val="24"/>
          <w:szCs w:val="24"/>
        </w:rPr>
        <w:t>Contratação de Empresa para Fornecimentos de Equipamentos, Instrumentais e Aparelhos de uso Hospitalar, para atender as necessidades da Secretaria de Saúde da Prefeitura Municipal de Conceição dos Ouros/MG.</w:t>
      </w:r>
    </w:p>
    <w:p w:rsidR="005435DF" w:rsidRPr="00FC71BF" w:rsidRDefault="005435DF" w:rsidP="005435DF">
      <w:pPr>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  </w:t>
      </w:r>
    </w:p>
    <w:p w:rsidR="005435DF" w:rsidRPr="00FC71BF" w:rsidRDefault="005435DF" w:rsidP="005435DF">
      <w:pPr>
        <w:tabs>
          <w:tab w:val="left" w:pos="717"/>
        </w:tabs>
        <w:jc w:val="both"/>
        <w:rPr>
          <w:rFonts w:ascii="Century Gothic" w:hAnsi="Century Gothic"/>
          <w:snapToGrid w:val="0"/>
          <w:color w:val="000000"/>
          <w:sz w:val="24"/>
          <w:szCs w:val="24"/>
        </w:rPr>
      </w:pPr>
    </w:p>
    <w:p w:rsidR="005435DF" w:rsidRPr="00FC71BF" w:rsidRDefault="005435DF" w:rsidP="005435DF">
      <w:pPr>
        <w:tabs>
          <w:tab w:val="right" w:pos="6589"/>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SEGUNDA - DA VALIDADE DO REGISTRO DE PREÇOS</w:t>
      </w:r>
    </w:p>
    <w:p w:rsidR="005435DF" w:rsidRPr="00FC71BF" w:rsidRDefault="005435DF" w:rsidP="005435DF">
      <w:pPr>
        <w:tabs>
          <w:tab w:val="right" w:pos="6589"/>
        </w:tabs>
        <w:jc w:val="both"/>
        <w:rPr>
          <w:rFonts w:ascii="Century Gothic" w:hAnsi="Century Gothic"/>
          <w:b/>
          <w:snapToGrid w:val="0"/>
          <w:color w:val="000000"/>
          <w:sz w:val="24"/>
          <w:szCs w:val="24"/>
        </w:rPr>
      </w:pP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 presente Ata de Registro de Preços terá a validade de 12 (doze) meses a partir da sua assinatura.</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435D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435DF" w:rsidRDefault="005435DF" w:rsidP="005435DF">
      <w:pPr>
        <w:jc w:val="both"/>
        <w:rPr>
          <w:rFonts w:ascii="Century Gothic" w:hAnsi="Century Gothic"/>
          <w:snapToGrid w:val="0"/>
          <w:color w:val="000000"/>
          <w:sz w:val="24"/>
          <w:szCs w:val="24"/>
        </w:rPr>
      </w:pPr>
    </w:p>
    <w:p w:rsidR="005435DF" w:rsidRDefault="005435DF" w:rsidP="005435DF">
      <w:pPr>
        <w:jc w:val="both"/>
        <w:rPr>
          <w:rFonts w:ascii="Century Gothic" w:hAnsi="Century Gothic"/>
          <w:snapToGrid w:val="0"/>
          <w:color w:val="000000"/>
          <w:sz w:val="24"/>
          <w:szCs w:val="24"/>
        </w:rPr>
      </w:pPr>
    </w:p>
    <w:p w:rsidR="005435DF" w:rsidRPr="00FC71BF" w:rsidRDefault="005435DF" w:rsidP="005435DF">
      <w:pPr>
        <w:jc w:val="both"/>
        <w:rPr>
          <w:rFonts w:ascii="Century Gothic" w:hAnsi="Century Gothic"/>
          <w:snapToGrid w:val="0"/>
          <w:color w:val="000000"/>
          <w:sz w:val="24"/>
          <w:szCs w:val="24"/>
        </w:rPr>
      </w:pPr>
    </w:p>
    <w:p w:rsidR="005435DF" w:rsidRPr="00FC71BF" w:rsidRDefault="005435DF" w:rsidP="005435DF">
      <w:pPr>
        <w:jc w:val="both"/>
        <w:rPr>
          <w:rFonts w:ascii="Century Gothic" w:hAnsi="Century Gothic"/>
          <w:snapToGrid w:val="0"/>
          <w:color w:val="000000"/>
          <w:sz w:val="24"/>
          <w:szCs w:val="24"/>
        </w:rPr>
      </w:pPr>
    </w:p>
    <w:p w:rsidR="005435DF" w:rsidRPr="00FC71BF" w:rsidRDefault="005435DF" w:rsidP="005435DF">
      <w:pPr>
        <w:tabs>
          <w:tab w:val="right" w:pos="2401"/>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 CLÁUSULA TERCEIRA </w:t>
      </w:r>
      <w:r w:rsidRPr="00FC71BF">
        <w:rPr>
          <w:rFonts w:ascii="Century Gothic" w:hAnsi="Century Gothic"/>
          <w:b/>
          <w:snapToGrid w:val="0"/>
          <w:color w:val="000000"/>
          <w:sz w:val="24"/>
          <w:szCs w:val="24"/>
        </w:rPr>
        <w:noBreakHyphen/>
        <w:t xml:space="preserve"> DO PREÇO</w:t>
      </w:r>
    </w:p>
    <w:p w:rsidR="005435DF" w:rsidRPr="00FC71BF" w:rsidRDefault="005435DF" w:rsidP="005435DF">
      <w:pPr>
        <w:tabs>
          <w:tab w:val="right" w:pos="2401"/>
        </w:tabs>
        <w:jc w:val="both"/>
        <w:rPr>
          <w:rFonts w:ascii="Century Gothic" w:hAnsi="Century Gothic"/>
          <w:b/>
          <w:snapToGrid w:val="0"/>
          <w:color w:val="000000"/>
          <w:sz w:val="24"/>
          <w:szCs w:val="24"/>
        </w:rPr>
      </w:pP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I –</w:t>
      </w:r>
      <w:r w:rsidRPr="00FC71BF">
        <w:rPr>
          <w:rFonts w:ascii="Century Gothic" w:hAnsi="Century Gothic"/>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033/2015.</w:t>
      </w:r>
    </w:p>
    <w:p w:rsidR="005435DF" w:rsidRPr="00FC71BF" w:rsidRDefault="005435DF" w:rsidP="005435DF">
      <w:pPr>
        <w:tabs>
          <w:tab w:val="right" w:pos="9122"/>
        </w:tabs>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Em cada fornecimento decorrente desta Ata, serão observadas as disposições do Decreto nº 991/2014, </w:t>
      </w:r>
      <w:r w:rsidRPr="00FC71BF">
        <w:rPr>
          <w:rFonts w:ascii="Century Gothic" w:hAnsi="Century Gothic"/>
          <w:color w:val="000000"/>
          <w:sz w:val="24"/>
          <w:szCs w:val="24"/>
        </w:rPr>
        <w:t>que regulamenta o SRP na modalidade pregão</w:t>
      </w:r>
      <w:r w:rsidRPr="00FC71BF">
        <w:rPr>
          <w:rFonts w:ascii="Century Gothic" w:hAnsi="Century Gothic"/>
          <w:snapToGrid w:val="0"/>
          <w:color w:val="000000"/>
          <w:sz w:val="24"/>
          <w:szCs w:val="24"/>
        </w:rPr>
        <w:t>, assim como as cláusulas e condições constantes do Edital de Pregão Presencial Para Registro de Preços nº 033/2015 que a precedeu e integra o presente instrumento de compromisso independentemente de transcrição.</w:t>
      </w:r>
    </w:p>
    <w:p w:rsidR="005435DF" w:rsidRPr="00FC71BF" w:rsidRDefault="005435DF" w:rsidP="005435DF">
      <w:pPr>
        <w:tabs>
          <w:tab w:val="right" w:pos="9106"/>
        </w:tabs>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Em cada fornecimento, o preço unitário a ser pago será o constante das propostas apresentadas, no Pregão Presencial Para Registro de Preços de nº 033/2015 pelas empresas detentoras da Presente ATA, as quais também a integram.</w:t>
      </w:r>
    </w:p>
    <w:p w:rsidR="005435DF" w:rsidRPr="00FC71BF" w:rsidRDefault="005435DF" w:rsidP="005435DF">
      <w:pPr>
        <w:tabs>
          <w:tab w:val="right" w:pos="9106"/>
        </w:tabs>
        <w:jc w:val="both"/>
        <w:rPr>
          <w:rFonts w:ascii="Century Gothic" w:hAnsi="Century Gothic"/>
          <w:snapToGrid w:val="0"/>
          <w:color w:val="000000"/>
          <w:sz w:val="24"/>
          <w:szCs w:val="24"/>
        </w:rPr>
      </w:pPr>
    </w:p>
    <w:p w:rsidR="005435DF" w:rsidRPr="00FC71BF" w:rsidRDefault="005435DF" w:rsidP="005435DF">
      <w:pPr>
        <w:tabs>
          <w:tab w:val="left" w:pos="50"/>
          <w:tab w:val="left" w:leader="dot" w:pos="5971"/>
          <w:tab w:val="right" w:pos="9106"/>
        </w:tabs>
        <w:jc w:val="both"/>
        <w:rPr>
          <w:rFonts w:ascii="Century Gothic" w:hAnsi="Century Gothic"/>
          <w:b/>
          <w:snapToGrid w:val="0"/>
          <w:color w:val="000000"/>
          <w:sz w:val="24"/>
          <w:szCs w:val="24"/>
        </w:rPr>
      </w:pPr>
      <w:r w:rsidRPr="00FC71BF">
        <w:rPr>
          <w:rFonts w:ascii="Century Gothic" w:hAnsi="Century Gothic"/>
          <w:snapToGrid w:val="0"/>
          <w:color w:val="000000"/>
          <w:sz w:val="24"/>
          <w:szCs w:val="24"/>
        </w:rPr>
        <w:t xml:space="preserve"> </w:t>
      </w:r>
      <w:r w:rsidRPr="00FC71BF">
        <w:rPr>
          <w:rFonts w:ascii="Century Gothic" w:hAnsi="Century Gothic"/>
          <w:b/>
          <w:snapToGrid w:val="0"/>
          <w:color w:val="000000"/>
          <w:sz w:val="24"/>
          <w:szCs w:val="24"/>
        </w:rPr>
        <w:t>CLÁUSULA QUARTA - DO LOCAL E PRAZO DE ENTREGA</w:t>
      </w:r>
    </w:p>
    <w:p w:rsidR="005435DF" w:rsidRPr="00FC71BF" w:rsidRDefault="005435DF" w:rsidP="005435DF">
      <w:pPr>
        <w:tabs>
          <w:tab w:val="left" w:pos="50"/>
          <w:tab w:val="left" w:leader="dot" w:pos="5971"/>
          <w:tab w:val="right" w:pos="6021"/>
        </w:tabs>
        <w:jc w:val="both"/>
        <w:rPr>
          <w:rFonts w:ascii="Century Gothic" w:hAnsi="Century Gothic"/>
          <w:b/>
          <w:snapToGrid w:val="0"/>
          <w:color w:val="000000"/>
          <w:sz w:val="24"/>
          <w:szCs w:val="24"/>
        </w:rPr>
      </w:pP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Em cada fornecimento, o prazo de entrega dos produtos será de 03 (três) dias e será contado a partir da Ordem de Fornecimento. </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O local da entrega, em cada fornecimento, será em locais pré-determinados pela administração.</w:t>
      </w:r>
    </w:p>
    <w:p w:rsidR="005435DF" w:rsidRPr="00FC71BF" w:rsidRDefault="005435DF" w:rsidP="005435DF">
      <w:pPr>
        <w:tabs>
          <w:tab w:val="right" w:pos="5427"/>
        </w:tabs>
        <w:jc w:val="both"/>
        <w:rPr>
          <w:rFonts w:ascii="Century Gothic" w:hAnsi="Century Gothic"/>
          <w:i/>
          <w:snapToGrid w:val="0"/>
          <w:color w:val="000000"/>
          <w:sz w:val="24"/>
          <w:szCs w:val="24"/>
        </w:rPr>
      </w:pPr>
    </w:p>
    <w:p w:rsidR="005435DF" w:rsidRPr="00FC71BF" w:rsidRDefault="005435DF" w:rsidP="005435DF">
      <w:pPr>
        <w:tabs>
          <w:tab w:val="right" w:pos="3229"/>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QUINTA </w:t>
      </w:r>
      <w:r w:rsidRPr="00FC71BF">
        <w:rPr>
          <w:rFonts w:ascii="Century Gothic" w:hAnsi="Century Gothic"/>
          <w:b/>
          <w:snapToGrid w:val="0"/>
          <w:color w:val="000000"/>
          <w:sz w:val="24"/>
          <w:szCs w:val="24"/>
        </w:rPr>
        <w:noBreakHyphen/>
        <w:t xml:space="preserve"> DO PAGAMENTO</w:t>
      </w:r>
    </w:p>
    <w:p w:rsidR="005435DF" w:rsidRPr="00FC71BF" w:rsidRDefault="005435DF" w:rsidP="005435DF">
      <w:pPr>
        <w:tabs>
          <w:tab w:val="right" w:pos="254"/>
        </w:tabs>
        <w:jc w:val="both"/>
        <w:rPr>
          <w:rFonts w:ascii="Century Gothic" w:hAnsi="Century Gothic"/>
          <w:snapToGrid w:val="0"/>
          <w:color w:val="000000"/>
          <w:sz w:val="24"/>
          <w:szCs w:val="24"/>
        </w:rPr>
      </w:pP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I –</w:t>
      </w:r>
      <w:r w:rsidRPr="00FC71BF">
        <w:rPr>
          <w:rFonts w:ascii="Century Gothic" w:hAnsi="Century Gothic"/>
          <w:snapToGrid w:val="0"/>
          <w:color w:val="000000"/>
          <w:sz w:val="24"/>
          <w:szCs w:val="24"/>
        </w:rPr>
        <w:t xml:space="preserve"> </w:t>
      </w:r>
      <w:r w:rsidRPr="00FC71BF">
        <w:rPr>
          <w:rFonts w:ascii="Century Gothic" w:hAnsi="Century Gothic"/>
          <w:color w:val="000000"/>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FC71BF">
        <w:rPr>
          <w:rFonts w:ascii="Century Gothic" w:hAnsi="Century Gothic"/>
          <w:snapToGrid w:val="0"/>
          <w:color w:val="000000"/>
          <w:sz w:val="24"/>
          <w:szCs w:val="24"/>
        </w:rPr>
        <w:t>.</w:t>
      </w:r>
    </w:p>
    <w:p w:rsidR="005435DF" w:rsidRPr="00FC71BF" w:rsidRDefault="005435DF" w:rsidP="005435DF">
      <w:pPr>
        <w:tabs>
          <w:tab w:val="right" w:pos="4374"/>
        </w:tabs>
        <w:jc w:val="both"/>
        <w:rPr>
          <w:rFonts w:ascii="Century Gothic" w:hAnsi="Century Gothic"/>
          <w:snapToGrid w:val="0"/>
          <w:color w:val="000000"/>
          <w:sz w:val="24"/>
          <w:szCs w:val="24"/>
        </w:rPr>
      </w:pPr>
    </w:p>
    <w:p w:rsidR="005435DF" w:rsidRPr="00FC71BF" w:rsidRDefault="005435DF" w:rsidP="005435DF">
      <w:pPr>
        <w:tabs>
          <w:tab w:val="right" w:pos="6375"/>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SEXTA </w:t>
      </w:r>
      <w:r w:rsidRPr="00FC71BF">
        <w:rPr>
          <w:rFonts w:ascii="Century Gothic" w:hAnsi="Century Gothic"/>
          <w:b/>
          <w:snapToGrid w:val="0"/>
          <w:color w:val="000000"/>
          <w:sz w:val="24"/>
          <w:szCs w:val="24"/>
        </w:rPr>
        <w:noBreakHyphen/>
        <w:t xml:space="preserve"> DAS CONDIÇÕES DE FORNECIMENTO</w:t>
      </w:r>
    </w:p>
    <w:p w:rsidR="005435DF" w:rsidRPr="00FC71BF" w:rsidRDefault="005435DF" w:rsidP="005435DF">
      <w:pPr>
        <w:tabs>
          <w:tab w:val="right" w:pos="6375"/>
        </w:tabs>
        <w:jc w:val="both"/>
        <w:rPr>
          <w:rFonts w:ascii="Century Gothic" w:hAnsi="Century Gothic"/>
          <w:b/>
          <w:snapToGrid w:val="0"/>
          <w:color w:val="000000"/>
          <w:sz w:val="24"/>
          <w:szCs w:val="24"/>
        </w:rPr>
      </w:pP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IV </w:t>
      </w:r>
      <w:r w:rsidRPr="00FC71BF">
        <w:rPr>
          <w:rFonts w:ascii="Century Gothic" w:hAnsi="Century Gothic"/>
          <w:b/>
          <w:snapToGrid w:val="0"/>
          <w:color w:val="000000"/>
          <w:sz w:val="24"/>
          <w:szCs w:val="24"/>
        </w:rPr>
        <w:noBreakHyphen/>
        <w:t xml:space="preserve"> </w:t>
      </w:r>
      <w:r w:rsidRPr="00FC71BF">
        <w:rPr>
          <w:rFonts w:ascii="Century Gothic" w:hAnsi="Century Gothic"/>
          <w:snapToGrid w:val="0"/>
          <w:color w:val="000000"/>
          <w:sz w:val="24"/>
          <w:szCs w:val="24"/>
        </w:rPr>
        <w:t>Os produtos deverão ser entregues acompanhados das respectivas notas</w:t>
      </w:r>
      <w:r w:rsidRPr="00FC71BF">
        <w:rPr>
          <w:rFonts w:ascii="Century Gothic" w:hAnsi="Century Gothic"/>
          <w:snapToGrid w:val="0"/>
          <w:color w:val="000000"/>
          <w:sz w:val="24"/>
          <w:szCs w:val="24"/>
        </w:rPr>
        <w:noBreakHyphen/>
        <w:t>fiscais.</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V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As empresas detentoras da presente ata poderão, facultativamente, aceitar acréscimos superiores a vinte e cinco por cento, dentro do prazo de validade do registro.</w:t>
      </w:r>
    </w:p>
    <w:p w:rsidR="005435DF" w:rsidRPr="00FC71BF" w:rsidRDefault="005435DF" w:rsidP="005435DF">
      <w:pPr>
        <w:tabs>
          <w:tab w:val="left" w:pos="92"/>
          <w:tab w:val="right" w:pos="4024"/>
        </w:tabs>
        <w:jc w:val="both"/>
        <w:rPr>
          <w:rFonts w:ascii="Century Gothic" w:hAnsi="Century Gothic"/>
          <w:b/>
          <w:snapToGrid w:val="0"/>
          <w:color w:val="000000"/>
          <w:sz w:val="24"/>
          <w:szCs w:val="24"/>
        </w:rPr>
      </w:pPr>
    </w:p>
    <w:p w:rsidR="005435DF" w:rsidRPr="00FC71BF" w:rsidRDefault="005435DF" w:rsidP="005435DF">
      <w:pPr>
        <w:tabs>
          <w:tab w:val="left" w:pos="92"/>
          <w:tab w:val="right" w:pos="4024"/>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SÉTIMA </w:t>
      </w:r>
      <w:r w:rsidRPr="00FC71BF">
        <w:rPr>
          <w:rFonts w:ascii="Century Gothic" w:hAnsi="Century Gothic"/>
          <w:b/>
          <w:snapToGrid w:val="0"/>
          <w:color w:val="000000"/>
          <w:sz w:val="24"/>
          <w:szCs w:val="24"/>
        </w:rPr>
        <w:noBreakHyphen/>
        <w:t xml:space="preserve"> DAS PENALIDADES</w:t>
      </w:r>
    </w:p>
    <w:p w:rsidR="005435DF" w:rsidRPr="00FC71BF" w:rsidRDefault="005435DF" w:rsidP="005435DF">
      <w:pPr>
        <w:tabs>
          <w:tab w:val="left" w:pos="92"/>
          <w:tab w:val="right" w:pos="4024"/>
        </w:tabs>
        <w:jc w:val="both"/>
        <w:rPr>
          <w:rFonts w:ascii="Century Gothic" w:hAnsi="Century Gothic"/>
          <w:b/>
          <w:snapToGrid w:val="0"/>
          <w:color w:val="000000"/>
          <w:sz w:val="24"/>
          <w:szCs w:val="24"/>
        </w:rPr>
      </w:pPr>
    </w:p>
    <w:p w:rsidR="005435DF" w:rsidRPr="00FC71BF" w:rsidRDefault="005435DF" w:rsidP="005435DF">
      <w:pPr>
        <w:jc w:val="both"/>
        <w:rPr>
          <w:rFonts w:ascii="Century Gothic" w:hAnsi="Century Gothic"/>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w:t>
      </w:r>
      <w:r w:rsidRPr="00FC71BF">
        <w:rPr>
          <w:rFonts w:ascii="Century Gothic" w:hAnsi="Century Gothic"/>
          <w:color w:val="000000"/>
          <w:sz w:val="24"/>
          <w:szCs w:val="24"/>
        </w:rPr>
        <w:t>A não entrega do(s) produto(s) no prazo assinalado, importará na aplicação de multa diária na ordem de 0.3% (três décimos por cento) até o 30º (trigésimo) dia de atraso, sobre o valor do Fornecimento não Realizado.</w:t>
      </w:r>
    </w:p>
    <w:p w:rsidR="005435DF" w:rsidRPr="00FC71BF" w:rsidRDefault="005435DF" w:rsidP="005435DF">
      <w:pPr>
        <w:jc w:val="both"/>
        <w:rPr>
          <w:rFonts w:ascii="Century Gothic" w:hAnsi="Century Gothic"/>
          <w:color w:val="000000"/>
          <w:sz w:val="24"/>
          <w:szCs w:val="24"/>
        </w:rPr>
      </w:pPr>
      <w:r w:rsidRPr="00FC71BF">
        <w:rPr>
          <w:rFonts w:ascii="Century Gothic" w:hAnsi="Century Gothic"/>
          <w:b/>
          <w:color w:val="000000"/>
          <w:sz w:val="24"/>
          <w:szCs w:val="24"/>
        </w:rPr>
        <w:t>II</w:t>
      </w:r>
      <w:r w:rsidRPr="00FC71BF">
        <w:rPr>
          <w:rFonts w:ascii="Century Gothic" w:hAnsi="Century Gothic"/>
          <w:color w:val="000000"/>
          <w:sz w:val="24"/>
          <w:szCs w:val="24"/>
        </w:rPr>
        <w:t xml:space="preserve"> - 10% (dez por cento) sobre o valor do objeto, não executado, no caso de atraso superior a 30 (trinta) dias, com o </w:t>
      </w:r>
      <w:proofErr w:type="spellStart"/>
      <w:r w:rsidRPr="00FC71BF">
        <w:rPr>
          <w:rFonts w:ascii="Century Gothic" w:hAnsi="Century Gothic"/>
          <w:color w:val="000000"/>
          <w:sz w:val="24"/>
          <w:szCs w:val="24"/>
        </w:rPr>
        <w:t>conseqüente</w:t>
      </w:r>
      <w:proofErr w:type="spellEnd"/>
      <w:r w:rsidRPr="00FC71BF">
        <w:rPr>
          <w:rFonts w:ascii="Century Gothic" w:hAnsi="Century Gothic"/>
          <w:color w:val="000000"/>
          <w:sz w:val="24"/>
          <w:szCs w:val="24"/>
        </w:rPr>
        <w:t xml:space="preserve"> cancelamento da nota de empenho, Ata de Registro de Preços, contrato ou documento correspondente.</w:t>
      </w:r>
    </w:p>
    <w:p w:rsidR="005435DF" w:rsidRPr="00FC71BF" w:rsidRDefault="005435DF" w:rsidP="005435DF">
      <w:pPr>
        <w:jc w:val="both"/>
        <w:rPr>
          <w:rFonts w:ascii="Century Gothic" w:hAnsi="Century Gothic"/>
          <w:color w:val="000000"/>
          <w:sz w:val="24"/>
          <w:szCs w:val="24"/>
        </w:rPr>
      </w:pPr>
      <w:r w:rsidRPr="00FC71BF">
        <w:rPr>
          <w:rFonts w:ascii="Century Gothic" w:hAnsi="Century Gothic"/>
          <w:b/>
          <w:color w:val="000000"/>
          <w:sz w:val="24"/>
          <w:szCs w:val="24"/>
        </w:rPr>
        <w:t>III</w:t>
      </w:r>
      <w:r w:rsidRPr="00FC71BF">
        <w:rPr>
          <w:rFonts w:ascii="Century Gothic" w:hAnsi="Century Gothic"/>
          <w:color w:val="000000"/>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435DF" w:rsidRPr="00FC71BF" w:rsidRDefault="005435DF" w:rsidP="005435DF">
      <w:pPr>
        <w:jc w:val="both"/>
        <w:rPr>
          <w:rFonts w:ascii="Century Gothic" w:hAnsi="Century Gothic"/>
          <w:color w:val="000000"/>
          <w:sz w:val="24"/>
          <w:szCs w:val="24"/>
        </w:rPr>
      </w:pPr>
      <w:r w:rsidRPr="00FC71BF">
        <w:rPr>
          <w:rFonts w:ascii="Century Gothic" w:hAnsi="Century Gothic"/>
          <w:b/>
          <w:color w:val="000000"/>
          <w:sz w:val="24"/>
          <w:szCs w:val="24"/>
        </w:rPr>
        <w:t>IV -</w:t>
      </w:r>
      <w:r w:rsidRPr="00FC71BF">
        <w:rPr>
          <w:rFonts w:ascii="Century Gothic" w:hAnsi="Century Gothic"/>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435DF" w:rsidRPr="00FC71BF" w:rsidRDefault="005435DF" w:rsidP="005435DF">
      <w:pPr>
        <w:jc w:val="both"/>
        <w:rPr>
          <w:rFonts w:ascii="Century Gothic" w:hAnsi="Century Gothic"/>
          <w:color w:val="000000"/>
          <w:sz w:val="24"/>
          <w:szCs w:val="24"/>
        </w:rPr>
      </w:pPr>
      <w:r w:rsidRPr="00FC71BF">
        <w:rPr>
          <w:rFonts w:ascii="Century Gothic" w:hAnsi="Century Gothic"/>
          <w:b/>
          <w:color w:val="000000"/>
          <w:sz w:val="24"/>
          <w:szCs w:val="24"/>
        </w:rPr>
        <w:t xml:space="preserve">V </w:t>
      </w:r>
      <w:r w:rsidRPr="00FC71BF">
        <w:rPr>
          <w:rFonts w:ascii="Century Gothic" w:hAnsi="Century Gothic"/>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435DF" w:rsidRPr="00FC71BF" w:rsidRDefault="005435DF" w:rsidP="005435DF">
      <w:pPr>
        <w:jc w:val="both"/>
        <w:rPr>
          <w:rFonts w:ascii="Century Gothic" w:hAnsi="Century Gothic"/>
          <w:color w:val="000000"/>
          <w:sz w:val="24"/>
          <w:szCs w:val="24"/>
        </w:rPr>
      </w:pPr>
      <w:r w:rsidRPr="00FC71BF">
        <w:rPr>
          <w:rFonts w:ascii="Century Gothic" w:hAnsi="Century Gothic"/>
          <w:b/>
          <w:color w:val="000000"/>
          <w:sz w:val="24"/>
          <w:szCs w:val="24"/>
        </w:rPr>
        <w:t>VI</w:t>
      </w:r>
      <w:r w:rsidRPr="00FC71BF">
        <w:rPr>
          <w:rFonts w:ascii="Century Gothic" w:hAnsi="Century Gothic"/>
          <w:color w:val="000000"/>
          <w:sz w:val="24"/>
          <w:szCs w:val="24"/>
        </w:rPr>
        <w:t xml:space="preserve"> - Será propiciada Ampla Defesa à CONTRATADA, antes da imposição das penalidades elencadas nos itens precedentes.</w:t>
      </w:r>
    </w:p>
    <w:p w:rsidR="005435DF" w:rsidRPr="00FC71BF" w:rsidRDefault="005435DF" w:rsidP="005435DF">
      <w:pPr>
        <w:jc w:val="both"/>
        <w:rPr>
          <w:rFonts w:ascii="Century Gothic" w:hAnsi="Century Gothic"/>
          <w:color w:val="000000"/>
          <w:sz w:val="24"/>
          <w:szCs w:val="24"/>
        </w:rPr>
      </w:pPr>
    </w:p>
    <w:p w:rsidR="005435DF" w:rsidRPr="00FC71BF" w:rsidRDefault="005435DF" w:rsidP="005435DF">
      <w:pPr>
        <w:tabs>
          <w:tab w:val="right" w:pos="6019"/>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OITAVA </w:t>
      </w:r>
      <w:r w:rsidRPr="00FC71BF">
        <w:rPr>
          <w:rFonts w:ascii="Century Gothic" w:hAnsi="Century Gothic"/>
          <w:b/>
          <w:snapToGrid w:val="0"/>
          <w:color w:val="000000"/>
          <w:sz w:val="24"/>
          <w:szCs w:val="24"/>
        </w:rPr>
        <w:noBreakHyphen/>
        <w:t xml:space="preserve"> DO REEQUILÍBRIO ECONÔMICO-FINANCEIRO</w:t>
      </w:r>
    </w:p>
    <w:p w:rsidR="005435DF" w:rsidRPr="00FC71BF" w:rsidRDefault="005435DF" w:rsidP="005435DF">
      <w:pPr>
        <w:tabs>
          <w:tab w:val="right" w:pos="6019"/>
        </w:tabs>
        <w:jc w:val="both"/>
        <w:rPr>
          <w:rFonts w:ascii="Century Gothic" w:hAnsi="Century Gothic"/>
          <w:b/>
          <w:snapToGrid w:val="0"/>
          <w:color w:val="000000"/>
          <w:sz w:val="24"/>
          <w:szCs w:val="24"/>
        </w:rPr>
      </w:pPr>
    </w:p>
    <w:p w:rsidR="005435DF" w:rsidRPr="00FC71BF" w:rsidRDefault="005435DF" w:rsidP="005435DF">
      <w:pPr>
        <w:jc w:val="both"/>
        <w:rPr>
          <w:rFonts w:ascii="Century Gothic" w:hAnsi="Century Gothic"/>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w:t>
      </w:r>
      <w:r w:rsidRPr="00FC71BF">
        <w:rPr>
          <w:rFonts w:ascii="Century Gothic" w:hAnsi="Century Gothic"/>
          <w:color w:val="000000"/>
          <w:sz w:val="24"/>
          <w:szCs w:val="24"/>
        </w:rPr>
        <w:t>O valor pactuado poderá ser revisto mediante solicitação da contratada com vistas a manutenção do equilíbrio econômico-financeiro do contrato, na forma do art. 65, II “d” da Lei n.º 8.666/93.</w:t>
      </w:r>
    </w:p>
    <w:p w:rsidR="005435DF" w:rsidRPr="00FC71BF" w:rsidRDefault="005435DF" w:rsidP="005435DF">
      <w:pPr>
        <w:jc w:val="both"/>
        <w:rPr>
          <w:rFonts w:ascii="Century Gothic" w:hAnsi="Century Gothic"/>
          <w:color w:val="000000"/>
          <w:sz w:val="24"/>
          <w:szCs w:val="24"/>
        </w:rPr>
      </w:pPr>
      <w:r w:rsidRPr="00FC71BF">
        <w:rPr>
          <w:rFonts w:ascii="Century Gothic" w:hAnsi="Century Gothic"/>
          <w:color w:val="000000"/>
          <w:sz w:val="24"/>
          <w:szCs w:val="24"/>
        </w:rPr>
        <w:t xml:space="preserve"> </w:t>
      </w:r>
      <w:r w:rsidRPr="00FC71BF">
        <w:rPr>
          <w:rFonts w:ascii="Century Gothic" w:hAnsi="Century Gothic"/>
          <w:b/>
          <w:bCs/>
          <w:color w:val="000000"/>
          <w:sz w:val="24"/>
          <w:szCs w:val="24"/>
        </w:rPr>
        <w:t>II</w:t>
      </w:r>
      <w:r w:rsidRPr="00FC71BF">
        <w:rPr>
          <w:rFonts w:ascii="Century Gothic" w:hAnsi="Century Gothic"/>
          <w:color w:val="000000"/>
          <w:sz w:val="24"/>
          <w:szCs w:val="24"/>
        </w:rPr>
        <w:t xml:space="preserve"> – As eventuais solicitações deverão fazer-se acompanhar de comprovação da superveniência do fato imprevisível ou previsível, porém de </w:t>
      </w:r>
      <w:proofErr w:type="spellStart"/>
      <w:r w:rsidRPr="00FC71BF">
        <w:rPr>
          <w:rFonts w:ascii="Century Gothic" w:hAnsi="Century Gothic"/>
          <w:color w:val="000000"/>
          <w:sz w:val="24"/>
          <w:szCs w:val="24"/>
        </w:rPr>
        <w:t>conseqüências</w:t>
      </w:r>
      <w:proofErr w:type="spellEnd"/>
      <w:r w:rsidRPr="00FC71BF">
        <w:rPr>
          <w:rFonts w:ascii="Century Gothic" w:hAnsi="Century Gothic"/>
          <w:color w:val="000000"/>
          <w:sz w:val="24"/>
          <w:szCs w:val="24"/>
        </w:rPr>
        <w:t xml:space="preserve"> incalculáveis, bem como de demonstração analítica de seu impacto nos custos do contrato.</w:t>
      </w:r>
    </w:p>
    <w:p w:rsidR="005435DF" w:rsidRPr="00FC71BF" w:rsidRDefault="005435DF" w:rsidP="005435DF">
      <w:pPr>
        <w:jc w:val="both"/>
        <w:rPr>
          <w:rFonts w:ascii="Century Gothic" w:hAnsi="Century Gothic"/>
          <w:color w:val="000000"/>
          <w:sz w:val="24"/>
          <w:szCs w:val="24"/>
        </w:rPr>
      </w:pPr>
      <w:r w:rsidRPr="00FC71BF">
        <w:rPr>
          <w:rFonts w:ascii="Century Gothic" w:hAnsi="Century Gothic"/>
          <w:b/>
          <w:bCs/>
          <w:color w:val="000000"/>
          <w:sz w:val="24"/>
          <w:szCs w:val="24"/>
        </w:rPr>
        <w:t xml:space="preserve">III </w:t>
      </w:r>
      <w:r w:rsidRPr="00FC71BF">
        <w:rPr>
          <w:rFonts w:ascii="Century Gothic" w:hAnsi="Century Gothic"/>
          <w:color w:val="000000"/>
          <w:sz w:val="24"/>
          <w:szCs w:val="24"/>
        </w:rPr>
        <w:t>– Para fins de manutenção do equilíbrio econômico-financeiro, a comprovação do percentual se dará mediante a apresentação das notas fiscais de compra do produto, antes e depois da redução ou reajuste.</w:t>
      </w:r>
    </w:p>
    <w:p w:rsidR="005435DF" w:rsidRPr="00FC71BF" w:rsidRDefault="005435DF" w:rsidP="005435DF">
      <w:pPr>
        <w:jc w:val="both"/>
        <w:rPr>
          <w:rFonts w:ascii="Century Gothic" w:hAnsi="Century Gothic"/>
          <w:snapToGrid w:val="0"/>
          <w:color w:val="000000"/>
          <w:sz w:val="24"/>
          <w:szCs w:val="24"/>
        </w:rPr>
      </w:pPr>
    </w:p>
    <w:p w:rsidR="005435DF" w:rsidRPr="00FC71BF" w:rsidRDefault="005435DF" w:rsidP="005435DF">
      <w:pPr>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NONA – DOTAÇÃO ORÇAMENTÁRIA</w:t>
      </w:r>
    </w:p>
    <w:p w:rsidR="005435DF" w:rsidRPr="00FC71BF" w:rsidRDefault="005435DF" w:rsidP="005435DF">
      <w:pPr>
        <w:jc w:val="both"/>
        <w:rPr>
          <w:rFonts w:ascii="Century Gothic" w:hAnsi="Century Gothic"/>
          <w:color w:val="000000"/>
          <w:sz w:val="24"/>
          <w:szCs w:val="24"/>
        </w:rPr>
      </w:pPr>
    </w:p>
    <w:p w:rsidR="005435DF" w:rsidRPr="00FC71BF" w:rsidRDefault="005435DF" w:rsidP="005435DF">
      <w:pPr>
        <w:pStyle w:val="Recuodecorpodetexto"/>
        <w:ind w:firstLine="0"/>
        <w:rPr>
          <w:rFonts w:ascii="Century Gothic" w:hAnsi="Century Gothic"/>
          <w:color w:val="000000"/>
          <w:szCs w:val="24"/>
          <w:lang w:val="pt-BR"/>
        </w:rPr>
      </w:pPr>
      <w:r w:rsidRPr="00FC71BF">
        <w:rPr>
          <w:rFonts w:ascii="Century Gothic" w:hAnsi="Century Gothic"/>
          <w:b/>
          <w:color w:val="000000"/>
          <w:szCs w:val="24"/>
        </w:rPr>
        <w:t xml:space="preserve"> I - </w:t>
      </w:r>
      <w:r w:rsidRPr="00FC71BF">
        <w:rPr>
          <w:rFonts w:ascii="Century Gothic" w:hAnsi="Century Gothic"/>
          <w:color w:val="000000"/>
          <w:szCs w:val="24"/>
        </w:rPr>
        <w:t>Os recursos necessários ao atendimento das despesas correrão à conta das seguintes dotações orçamentárias:</w:t>
      </w:r>
    </w:p>
    <w:p w:rsidR="005435DF" w:rsidRPr="00294B9E" w:rsidRDefault="005435DF" w:rsidP="005435DF">
      <w:pPr>
        <w:pStyle w:val="Recuodecorpodetexto"/>
        <w:ind w:firstLine="0"/>
        <w:rPr>
          <w:rFonts w:ascii="Century Gothic" w:hAnsi="Century Gothic"/>
          <w:color w:val="000000"/>
          <w:szCs w:val="24"/>
          <w:lang w:val="pt-BR"/>
        </w:rPr>
      </w:pPr>
      <w:r w:rsidRPr="00FC71BF">
        <w:rPr>
          <w:rFonts w:ascii="Century Gothic" w:hAnsi="Century Gothic"/>
          <w:color w:val="000000"/>
        </w:rPr>
        <w:t xml:space="preserve">                                                   </w:t>
      </w:r>
      <w:r>
        <w:rPr>
          <w:rFonts w:ascii="Century Gothic" w:hAnsi="Century Gothic"/>
          <w:color w:val="000000"/>
          <w:szCs w:val="24"/>
          <w:lang w:val="pt-BR"/>
        </w:rPr>
        <w:t xml:space="preserve">     </w:t>
      </w:r>
      <w:r w:rsidRPr="00294B9E">
        <w:rPr>
          <w:rFonts w:ascii="Century Gothic" w:hAnsi="Century Gothic"/>
          <w:color w:val="000000"/>
          <w:szCs w:val="24"/>
          <w:lang w:val="pt-BR"/>
        </w:rPr>
        <w:t xml:space="preserve">  - Ficha 183, Ficha 197, Ficha 215.</w:t>
      </w:r>
    </w:p>
    <w:p w:rsidR="005435DF" w:rsidRPr="00FC71BF" w:rsidRDefault="005435DF" w:rsidP="005435DF">
      <w:pPr>
        <w:jc w:val="both"/>
        <w:rPr>
          <w:rFonts w:ascii="Century Gothic" w:hAnsi="Century Gothic"/>
          <w:color w:val="000000"/>
        </w:rPr>
      </w:pPr>
    </w:p>
    <w:p w:rsidR="005435DF" w:rsidRPr="00FC71BF" w:rsidRDefault="005435DF" w:rsidP="005435DF">
      <w:pPr>
        <w:pStyle w:val="Recuodecorpodetexto"/>
        <w:ind w:firstLine="0"/>
        <w:rPr>
          <w:rFonts w:ascii="Century Gothic" w:hAnsi="Century Gothic"/>
          <w:color w:val="000000"/>
          <w:szCs w:val="24"/>
        </w:rPr>
      </w:pPr>
    </w:p>
    <w:p w:rsidR="005435DF" w:rsidRPr="00FC71BF" w:rsidRDefault="005435DF" w:rsidP="005435DF">
      <w:pPr>
        <w:pStyle w:val="Corpodetexto3"/>
        <w:rPr>
          <w:rFonts w:ascii="Century Gothic" w:hAnsi="Century Gothic"/>
          <w:b/>
          <w:color w:val="000000"/>
          <w:sz w:val="24"/>
          <w:szCs w:val="24"/>
        </w:rPr>
      </w:pPr>
      <w:r w:rsidRPr="00FC71BF">
        <w:rPr>
          <w:rFonts w:ascii="Century Gothic" w:hAnsi="Century Gothic"/>
          <w:b/>
          <w:color w:val="000000"/>
          <w:sz w:val="24"/>
          <w:szCs w:val="24"/>
        </w:rPr>
        <w:t xml:space="preserve">CLÁUSULA DÉCIMA </w:t>
      </w:r>
      <w:r w:rsidRPr="00FC71BF">
        <w:rPr>
          <w:rFonts w:ascii="Century Gothic" w:hAnsi="Century Gothic"/>
          <w:b/>
          <w:color w:val="000000"/>
          <w:sz w:val="24"/>
          <w:szCs w:val="24"/>
        </w:rPr>
        <w:noBreakHyphen/>
        <w:t xml:space="preserve"> DAS CONDIÇÕES DE RECEBIMENTO DO OBJETO DA ATA DE REGISTRO DE PREÇOS</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lastRenderedPageBreak/>
        <w:t xml:space="preserve">I </w:t>
      </w:r>
      <w:r w:rsidRPr="00FC71BF">
        <w:rPr>
          <w:rFonts w:ascii="Century Gothic" w:hAnsi="Century Gothic"/>
          <w:b/>
          <w:snapToGrid w:val="0"/>
          <w:color w:val="000000"/>
          <w:sz w:val="24"/>
          <w:szCs w:val="24"/>
        </w:rPr>
        <w:noBreakHyphen/>
        <w:t xml:space="preserve"> </w:t>
      </w:r>
      <w:r w:rsidRPr="00FC71BF">
        <w:rPr>
          <w:rFonts w:ascii="Century Gothic" w:hAnsi="Century Gothic"/>
          <w:snapToGrid w:val="0"/>
          <w:color w:val="000000"/>
          <w:sz w:val="24"/>
          <w:szCs w:val="24"/>
        </w:rPr>
        <w:t>O objeto desta Ata de Registro de preços será recebido pela unidade requisitante consoante o disposto no art. 73, II “a” e “b”, da Lei Federal 8.666/93 e demais normas pertinentes.</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 cada fornecimento serão emitidos recibos, nos termos do art. 73, II, “a” e “b”, da Lei Federal 8.666/93.</w:t>
      </w:r>
    </w:p>
    <w:p w:rsidR="005435DF" w:rsidRPr="00FC71BF" w:rsidRDefault="005435DF" w:rsidP="005435DF">
      <w:pPr>
        <w:jc w:val="both"/>
        <w:rPr>
          <w:rFonts w:ascii="Century Gothic" w:hAnsi="Century Gothic"/>
          <w:snapToGrid w:val="0"/>
          <w:color w:val="000000"/>
          <w:sz w:val="24"/>
          <w:szCs w:val="24"/>
        </w:rPr>
      </w:pPr>
    </w:p>
    <w:p w:rsidR="005435DF" w:rsidRPr="00FC71BF" w:rsidRDefault="005435DF" w:rsidP="005435DF">
      <w:pPr>
        <w:tabs>
          <w:tab w:val="right" w:pos="8512"/>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DÉCIMA PRIMEIRA </w:t>
      </w:r>
      <w:r w:rsidRPr="00FC71BF">
        <w:rPr>
          <w:rFonts w:ascii="Century Gothic" w:hAnsi="Century Gothic"/>
          <w:b/>
          <w:snapToGrid w:val="0"/>
          <w:color w:val="000000"/>
          <w:sz w:val="24"/>
          <w:szCs w:val="24"/>
        </w:rPr>
        <w:noBreakHyphen/>
        <w:t xml:space="preserve"> DO CANCELAMENTO DA ATA DE REGISTRO DE PREÇOS</w:t>
      </w:r>
    </w:p>
    <w:p w:rsidR="005435DF" w:rsidRPr="00FC71BF" w:rsidRDefault="005435DF" w:rsidP="005435DF">
      <w:pPr>
        <w:tabs>
          <w:tab w:val="right" w:pos="8512"/>
        </w:tabs>
        <w:jc w:val="both"/>
        <w:rPr>
          <w:rFonts w:ascii="Century Gothic" w:hAnsi="Century Gothic"/>
          <w:snapToGrid w:val="0"/>
          <w:color w:val="000000"/>
          <w:sz w:val="24"/>
          <w:szCs w:val="24"/>
        </w:rPr>
      </w:pP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I</w:t>
      </w:r>
      <w:r w:rsidRPr="00FC71BF">
        <w:rPr>
          <w:rFonts w:ascii="Century Gothic" w:hAnsi="Century Gothic"/>
          <w:snapToGrid w:val="0"/>
          <w:color w:val="000000"/>
          <w:sz w:val="24"/>
          <w:szCs w:val="24"/>
        </w:rPr>
        <w:t xml:space="preserve"> </w:t>
      </w:r>
      <w:r w:rsidRPr="00FC71BF">
        <w:rPr>
          <w:rFonts w:ascii="Century Gothic" w:hAnsi="Century Gothic"/>
          <w:snapToGrid w:val="0"/>
          <w:color w:val="000000"/>
          <w:sz w:val="24"/>
          <w:szCs w:val="24"/>
        </w:rPr>
        <w:noBreakHyphen/>
        <w:t xml:space="preserve"> A presente Ata de Registro de Preços poderá ser cancelada, de pleno direito:</w:t>
      </w:r>
    </w:p>
    <w:p w:rsidR="005435DF" w:rsidRPr="00FC71BF" w:rsidRDefault="005435DF" w:rsidP="005435DF">
      <w:pPr>
        <w:jc w:val="both"/>
        <w:rPr>
          <w:rFonts w:ascii="Century Gothic" w:hAnsi="Century Gothic"/>
          <w:snapToGrid w:val="0"/>
          <w:color w:val="000000"/>
          <w:sz w:val="24"/>
          <w:szCs w:val="24"/>
        </w:rPr>
      </w:pP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1 - Pela Administração, quando:</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A </w:t>
      </w:r>
      <w:r w:rsidRPr="00FC71BF">
        <w:rPr>
          <w:rFonts w:ascii="Century Gothic" w:hAnsi="Century Gothic"/>
          <w:snapToGrid w:val="0"/>
          <w:color w:val="000000"/>
          <w:sz w:val="24"/>
          <w:szCs w:val="24"/>
        </w:rPr>
        <w:noBreakHyphen/>
        <w:t xml:space="preserve"> </w:t>
      </w:r>
      <w:proofErr w:type="spellStart"/>
      <w:r w:rsidRPr="00FC71BF">
        <w:rPr>
          <w:rFonts w:ascii="Century Gothic" w:hAnsi="Century Gothic"/>
          <w:snapToGrid w:val="0"/>
          <w:color w:val="000000"/>
          <w:sz w:val="24"/>
          <w:szCs w:val="24"/>
        </w:rPr>
        <w:t>a</w:t>
      </w:r>
      <w:proofErr w:type="spellEnd"/>
      <w:r w:rsidRPr="00FC71BF">
        <w:rPr>
          <w:rFonts w:ascii="Century Gothic" w:hAnsi="Century Gothic"/>
          <w:snapToGrid w:val="0"/>
          <w:color w:val="000000"/>
          <w:sz w:val="24"/>
          <w:szCs w:val="24"/>
        </w:rPr>
        <w:t xml:space="preserve"> detentora não cumprir as obrigações constantes desta Ata de Registro de Preços;</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B – a detentora der causa a rescisão administrativa de contrato decorrente de registro de preços, a critério da Administração;</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C </w:t>
      </w:r>
      <w:r w:rsidRPr="00FC71BF">
        <w:rPr>
          <w:rFonts w:ascii="Century Gothic" w:hAnsi="Century Gothic"/>
          <w:snapToGrid w:val="0"/>
          <w:color w:val="000000"/>
          <w:sz w:val="24"/>
          <w:szCs w:val="24"/>
        </w:rPr>
        <w:noBreakHyphen/>
        <w:t xml:space="preserve"> em qualquer das hipóteses de inexecução total ou parcial de contrato decorrente de registro de preços, se assim for decidido pela Administração;</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D </w:t>
      </w:r>
      <w:r w:rsidRPr="00FC71BF">
        <w:rPr>
          <w:rFonts w:ascii="Century Gothic" w:hAnsi="Century Gothic"/>
          <w:snapToGrid w:val="0"/>
          <w:color w:val="000000"/>
          <w:sz w:val="24"/>
          <w:szCs w:val="24"/>
        </w:rPr>
        <w:noBreakHyphen/>
        <w:t xml:space="preserve"> os preços registrados se apresentarem superiores aos praticados no mercado;</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E </w:t>
      </w:r>
      <w:r w:rsidRPr="00FC71BF">
        <w:rPr>
          <w:rFonts w:ascii="Century Gothic" w:hAnsi="Century Gothic"/>
          <w:snapToGrid w:val="0"/>
          <w:color w:val="000000"/>
          <w:sz w:val="24"/>
          <w:szCs w:val="24"/>
        </w:rPr>
        <w:noBreakHyphen/>
        <w:t xml:space="preserve"> por razões de interesse público devidamente demonstradas e justificadas pela Administração;</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F </w:t>
      </w:r>
      <w:r w:rsidRPr="00FC71BF">
        <w:rPr>
          <w:rFonts w:ascii="Century Gothic" w:hAnsi="Century Gothic"/>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FC71BF">
        <w:rPr>
          <w:rFonts w:ascii="Century Gothic" w:hAnsi="Century Gothic"/>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435DF" w:rsidRPr="00FC71BF" w:rsidRDefault="005435DF" w:rsidP="005435DF">
      <w:pPr>
        <w:jc w:val="both"/>
        <w:rPr>
          <w:rFonts w:ascii="Century Gothic" w:hAnsi="Century Gothic"/>
          <w:snapToGrid w:val="0"/>
          <w:color w:val="000000"/>
          <w:sz w:val="24"/>
          <w:szCs w:val="24"/>
        </w:rPr>
      </w:pP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2 - Pela detentora, quando:</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FC71BF">
        <w:rPr>
          <w:rFonts w:ascii="Century Gothic" w:hAnsi="Century Gothic"/>
          <w:color w:val="000000"/>
          <w:sz w:val="24"/>
          <w:szCs w:val="24"/>
        </w:rPr>
        <w:t>revistas no art. 78, incisos XII</w:t>
      </w:r>
      <w:r w:rsidRPr="00FC71BF">
        <w:rPr>
          <w:rFonts w:ascii="Century Gothic" w:hAnsi="Century Gothic"/>
          <w:snapToGrid w:val="0"/>
          <w:color w:val="000000"/>
          <w:sz w:val="24"/>
          <w:szCs w:val="24"/>
        </w:rPr>
        <w:t>I a XVI, da Lei Federal 8.666/93, alterada pela Lei Federal 8.883/94.</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B </w:t>
      </w:r>
      <w:r w:rsidRPr="00FC71BF">
        <w:rPr>
          <w:rFonts w:ascii="Century Gothic" w:hAnsi="Century Gothic"/>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5435DF" w:rsidRPr="00FC71BF" w:rsidRDefault="005435DF" w:rsidP="005435DF">
      <w:pPr>
        <w:jc w:val="both"/>
        <w:rPr>
          <w:rFonts w:ascii="Century Gothic" w:hAnsi="Century Gothic"/>
          <w:snapToGrid w:val="0"/>
          <w:color w:val="000000"/>
          <w:sz w:val="24"/>
          <w:szCs w:val="24"/>
        </w:rPr>
      </w:pPr>
    </w:p>
    <w:p w:rsidR="005435DF" w:rsidRPr="00FC71BF" w:rsidRDefault="005435DF" w:rsidP="005435DF">
      <w:pPr>
        <w:tabs>
          <w:tab w:val="right" w:pos="3704"/>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DÉCIMA SEGUNDA - DAS DISPOSIÇÕES FINAIS</w:t>
      </w:r>
    </w:p>
    <w:p w:rsidR="005435DF" w:rsidRPr="00FC71BF" w:rsidRDefault="005435DF" w:rsidP="005435DF">
      <w:pPr>
        <w:tabs>
          <w:tab w:val="right" w:pos="3704"/>
        </w:tabs>
        <w:jc w:val="both"/>
        <w:rPr>
          <w:rFonts w:ascii="Century Gothic" w:hAnsi="Century Gothic"/>
          <w:b/>
          <w:snapToGrid w:val="0"/>
          <w:color w:val="000000"/>
          <w:sz w:val="24"/>
          <w:szCs w:val="24"/>
        </w:rPr>
      </w:pPr>
    </w:p>
    <w:p w:rsidR="005435DF" w:rsidRPr="00FC71BF" w:rsidRDefault="005435DF" w:rsidP="005435DF">
      <w:pPr>
        <w:jc w:val="both"/>
        <w:rPr>
          <w:rFonts w:ascii="Century Gothic" w:hAnsi="Century Gothic"/>
          <w:color w:val="000000"/>
          <w:sz w:val="24"/>
          <w:szCs w:val="24"/>
        </w:rPr>
      </w:pPr>
      <w:r w:rsidRPr="00FC71BF">
        <w:rPr>
          <w:rFonts w:ascii="Century Gothic" w:hAnsi="Century Gothic"/>
          <w:b/>
          <w:bCs/>
          <w:snapToGrid w:val="0"/>
          <w:color w:val="000000"/>
          <w:sz w:val="24"/>
          <w:szCs w:val="24"/>
        </w:rPr>
        <w:t xml:space="preserve">I </w:t>
      </w:r>
      <w:r w:rsidRPr="00FC71BF">
        <w:rPr>
          <w:rFonts w:ascii="Century Gothic" w:hAnsi="Century Gothic"/>
          <w:snapToGrid w:val="0"/>
          <w:color w:val="000000"/>
          <w:sz w:val="24"/>
          <w:szCs w:val="24"/>
        </w:rPr>
        <w:t xml:space="preserve">- Integram esta Ata, o edital do Processo de Licitação n. º 67/2015 modalidade Pregão Presencial n. </w:t>
      </w:r>
      <w:r w:rsidRPr="00FC71BF">
        <w:rPr>
          <w:rFonts w:ascii="Century Gothic" w:hAnsi="Century Gothic"/>
          <w:color w:val="000000"/>
          <w:sz w:val="24"/>
          <w:szCs w:val="24"/>
        </w:rPr>
        <w:t>º 033/2015, seus anexos e as propostas das empresas classificadas no certame.</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color w:val="000000"/>
          <w:sz w:val="24"/>
          <w:szCs w:val="24"/>
        </w:rPr>
        <w:t xml:space="preserve">II </w:t>
      </w:r>
      <w:r w:rsidRPr="00FC71BF">
        <w:rPr>
          <w:rFonts w:ascii="Century Gothic" w:hAnsi="Century Gothic"/>
          <w:b/>
          <w:color w:val="000000"/>
          <w:sz w:val="24"/>
          <w:szCs w:val="24"/>
        </w:rPr>
        <w:noBreakHyphen/>
        <w:t xml:space="preserve"> </w:t>
      </w:r>
      <w:r w:rsidRPr="00FC71BF">
        <w:rPr>
          <w:rFonts w:ascii="Century Gothic" w:hAnsi="Century Gothic"/>
          <w:color w:val="000000"/>
          <w:sz w:val="24"/>
          <w:szCs w:val="24"/>
        </w:rPr>
        <w:t>Fica eleito o foro da Comarca de Cachoeira de Minas, Estado de Minas Gerais para dirimir quaisquer questões decorrentes da utilização da presente Ata.</w:t>
      </w:r>
    </w:p>
    <w:p w:rsidR="005435DF" w:rsidRPr="00FC71BF" w:rsidRDefault="005435DF" w:rsidP="005435DF">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Os casos omissos serão resolvidos de acordo com o Decreto Municipal n.º 991/2014, a Lei Federal 10.520/02, subsidiariamente a Lei Federal n.º 8.666/93, e </w:t>
      </w:r>
      <w:proofErr w:type="spellStart"/>
      <w:r w:rsidRPr="00FC71BF">
        <w:rPr>
          <w:rFonts w:ascii="Century Gothic" w:hAnsi="Century Gothic"/>
          <w:snapToGrid w:val="0"/>
          <w:color w:val="000000"/>
          <w:sz w:val="24"/>
          <w:szCs w:val="24"/>
        </w:rPr>
        <w:t>sua</w:t>
      </w:r>
      <w:proofErr w:type="spellEnd"/>
      <w:r w:rsidRPr="00FC71BF">
        <w:rPr>
          <w:rFonts w:ascii="Century Gothic" w:hAnsi="Century Gothic"/>
          <w:snapToGrid w:val="0"/>
          <w:color w:val="000000"/>
          <w:sz w:val="24"/>
          <w:szCs w:val="24"/>
        </w:rPr>
        <w:t xml:space="preserve"> alterações, e demais normas aplicáveis. Subsidiariamente, aplicar</w:t>
      </w:r>
      <w:r w:rsidRPr="00FC71BF">
        <w:rPr>
          <w:rFonts w:ascii="Century Gothic" w:hAnsi="Century Gothic"/>
          <w:snapToGrid w:val="0"/>
          <w:color w:val="000000"/>
          <w:sz w:val="24"/>
          <w:szCs w:val="24"/>
        </w:rPr>
        <w:noBreakHyphen/>
        <w:t>se</w:t>
      </w:r>
      <w:r w:rsidRPr="00FC71BF">
        <w:rPr>
          <w:rFonts w:ascii="Century Gothic" w:hAnsi="Century Gothic"/>
          <w:snapToGrid w:val="0"/>
          <w:color w:val="000000"/>
          <w:sz w:val="24"/>
          <w:szCs w:val="24"/>
        </w:rPr>
        <w:noBreakHyphen/>
        <w:t>ão os princípios gerais de Direito.</w:t>
      </w:r>
    </w:p>
    <w:p w:rsidR="005435DF" w:rsidRPr="00FC71BF" w:rsidRDefault="005435DF" w:rsidP="005435DF">
      <w:pPr>
        <w:jc w:val="both"/>
        <w:rPr>
          <w:rFonts w:ascii="Century Gothic" w:hAnsi="Century Gothic"/>
          <w:snapToGrid w:val="0"/>
          <w:color w:val="000000"/>
          <w:sz w:val="24"/>
          <w:szCs w:val="24"/>
        </w:rPr>
      </w:pPr>
    </w:p>
    <w:p w:rsidR="005435DF" w:rsidRPr="00FC71BF" w:rsidRDefault="005435DF" w:rsidP="005435DF">
      <w:pPr>
        <w:jc w:val="both"/>
        <w:rPr>
          <w:rFonts w:ascii="Century Gothic" w:hAnsi="Century Gothic"/>
          <w:snapToGrid w:val="0"/>
          <w:color w:val="000000"/>
          <w:sz w:val="24"/>
          <w:szCs w:val="24"/>
        </w:rPr>
      </w:pPr>
    </w:p>
    <w:p w:rsidR="005435DF" w:rsidRPr="00FC71BF" w:rsidRDefault="005435DF" w:rsidP="005435DF">
      <w:pPr>
        <w:jc w:val="both"/>
        <w:rPr>
          <w:rFonts w:ascii="Century Gothic" w:hAnsi="Century Gothic"/>
          <w:snapToGrid w:val="0"/>
          <w:color w:val="000000"/>
          <w:sz w:val="24"/>
          <w:szCs w:val="24"/>
        </w:rPr>
      </w:pPr>
    </w:p>
    <w:p w:rsidR="005435DF" w:rsidRPr="00FC71BF" w:rsidRDefault="005435DF" w:rsidP="005435DF">
      <w:pPr>
        <w:jc w:val="center"/>
        <w:rPr>
          <w:rFonts w:ascii="Century Gothic" w:hAnsi="Century Gothic"/>
          <w:color w:val="000000"/>
          <w:sz w:val="24"/>
          <w:szCs w:val="24"/>
        </w:rPr>
      </w:pPr>
      <w:r w:rsidRPr="00FC71BF">
        <w:rPr>
          <w:rFonts w:ascii="Century Gothic" w:hAnsi="Century Gothic"/>
          <w:color w:val="000000"/>
          <w:sz w:val="24"/>
          <w:szCs w:val="24"/>
        </w:rPr>
        <w:t xml:space="preserve">CONCEIÇÃO DOS OUROS, </w:t>
      </w:r>
      <w:r>
        <w:rPr>
          <w:rFonts w:ascii="Century Gothic" w:hAnsi="Century Gothic"/>
          <w:color w:val="000000"/>
          <w:sz w:val="24"/>
          <w:szCs w:val="24"/>
        </w:rPr>
        <w:t>26</w:t>
      </w:r>
      <w:r w:rsidRPr="00FC71BF">
        <w:rPr>
          <w:rFonts w:ascii="Century Gothic" w:hAnsi="Century Gothic"/>
          <w:color w:val="000000"/>
          <w:sz w:val="24"/>
          <w:szCs w:val="24"/>
        </w:rPr>
        <w:t xml:space="preserve"> de </w:t>
      </w:r>
      <w:r>
        <w:rPr>
          <w:rFonts w:ascii="Century Gothic" w:hAnsi="Century Gothic"/>
          <w:color w:val="000000"/>
          <w:sz w:val="24"/>
          <w:szCs w:val="24"/>
        </w:rPr>
        <w:t>Agosto de 2.015</w:t>
      </w:r>
      <w:r w:rsidRPr="00FC71BF">
        <w:rPr>
          <w:rFonts w:ascii="Century Gothic" w:hAnsi="Century Gothic"/>
          <w:color w:val="000000"/>
          <w:sz w:val="24"/>
          <w:szCs w:val="24"/>
        </w:rPr>
        <w:t>.</w:t>
      </w:r>
    </w:p>
    <w:p w:rsidR="005435DF" w:rsidRPr="00FC71BF" w:rsidRDefault="005435DF" w:rsidP="005435DF">
      <w:pPr>
        <w:jc w:val="center"/>
        <w:rPr>
          <w:rFonts w:ascii="Century Gothic" w:hAnsi="Century Gothic"/>
          <w:color w:val="000000"/>
          <w:sz w:val="24"/>
          <w:szCs w:val="24"/>
        </w:rPr>
      </w:pPr>
    </w:p>
    <w:p w:rsidR="005435DF" w:rsidRPr="00FC71BF" w:rsidRDefault="005435DF" w:rsidP="005435DF">
      <w:pPr>
        <w:rPr>
          <w:rFonts w:ascii="Century Gothic" w:hAnsi="Century Gothic"/>
          <w:color w:val="000000"/>
          <w:sz w:val="24"/>
          <w:szCs w:val="24"/>
        </w:rPr>
      </w:pPr>
    </w:p>
    <w:p w:rsidR="005435DF" w:rsidRPr="00FC71BF" w:rsidRDefault="005435DF" w:rsidP="005435DF">
      <w:pPr>
        <w:jc w:val="center"/>
        <w:rPr>
          <w:rFonts w:ascii="Century Gothic" w:hAnsi="Century Gothic"/>
          <w:color w:val="000000"/>
          <w:sz w:val="24"/>
          <w:szCs w:val="24"/>
        </w:rPr>
      </w:pPr>
    </w:p>
    <w:p w:rsidR="005435DF" w:rsidRPr="00FC71BF" w:rsidRDefault="005435DF" w:rsidP="005435DF">
      <w:pPr>
        <w:jc w:val="center"/>
        <w:rPr>
          <w:rFonts w:ascii="Century Gothic" w:hAnsi="Century Gothic"/>
          <w:color w:val="000000"/>
          <w:sz w:val="24"/>
          <w:szCs w:val="24"/>
        </w:rPr>
      </w:pPr>
      <w:r w:rsidRPr="00FC71BF">
        <w:rPr>
          <w:rFonts w:ascii="Century Gothic" w:hAnsi="Century Gothic"/>
          <w:color w:val="000000"/>
          <w:sz w:val="24"/>
          <w:szCs w:val="24"/>
        </w:rPr>
        <w:t>PREFEITURA MUNICIPAL DE CONCEIÇÃO DOS OUROS - CONTRATANTE</w:t>
      </w:r>
    </w:p>
    <w:p w:rsidR="005435DF" w:rsidRPr="00FC71BF" w:rsidRDefault="005435DF" w:rsidP="005435DF">
      <w:pPr>
        <w:jc w:val="center"/>
        <w:rPr>
          <w:rFonts w:ascii="Century Gothic" w:hAnsi="Century Gothic"/>
          <w:color w:val="000000"/>
          <w:sz w:val="24"/>
          <w:szCs w:val="24"/>
        </w:rPr>
      </w:pPr>
      <w:r>
        <w:rPr>
          <w:rFonts w:ascii="Century Gothic" w:hAnsi="Century Gothic"/>
          <w:color w:val="000000"/>
          <w:sz w:val="24"/>
          <w:szCs w:val="24"/>
        </w:rPr>
        <w:t>Mauricio Euclides Viana</w:t>
      </w:r>
      <w:r w:rsidRPr="00FC71BF">
        <w:rPr>
          <w:rFonts w:ascii="Century Gothic" w:hAnsi="Century Gothic"/>
          <w:color w:val="000000"/>
          <w:sz w:val="24"/>
          <w:szCs w:val="24"/>
        </w:rPr>
        <w:t xml:space="preserve"> - PREFEITO MUNICIPAL</w:t>
      </w:r>
    </w:p>
    <w:p w:rsidR="005435DF" w:rsidRPr="00FC71BF" w:rsidRDefault="005435DF" w:rsidP="005435DF">
      <w:pPr>
        <w:jc w:val="center"/>
        <w:rPr>
          <w:rFonts w:ascii="Century Gothic" w:hAnsi="Century Gothic"/>
          <w:color w:val="000000"/>
          <w:sz w:val="24"/>
          <w:szCs w:val="24"/>
        </w:rPr>
      </w:pPr>
    </w:p>
    <w:p w:rsidR="005435DF" w:rsidRPr="00FC71BF" w:rsidRDefault="005435DF" w:rsidP="005435DF">
      <w:pPr>
        <w:jc w:val="center"/>
        <w:rPr>
          <w:rFonts w:ascii="Century Gothic" w:hAnsi="Century Gothic"/>
          <w:color w:val="000000"/>
          <w:sz w:val="24"/>
          <w:szCs w:val="24"/>
        </w:rPr>
      </w:pPr>
    </w:p>
    <w:p w:rsidR="005435DF" w:rsidRPr="00FC71BF" w:rsidRDefault="005435DF" w:rsidP="005435DF">
      <w:pPr>
        <w:jc w:val="center"/>
        <w:rPr>
          <w:rFonts w:ascii="Century Gothic" w:hAnsi="Century Gothic"/>
          <w:color w:val="000000"/>
          <w:sz w:val="24"/>
          <w:szCs w:val="24"/>
        </w:rPr>
      </w:pPr>
    </w:p>
    <w:p w:rsidR="005435DF" w:rsidRPr="00FC71BF" w:rsidRDefault="005435DF" w:rsidP="005435DF">
      <w:pPr>
        <w:jc w:val="center"/>
        <w:rPr>
          <w:rFonts w:ascii="Century Gothic" w:hAnsi="Century Gothic"/>
          <w:color w:val="000000"/>
          <w:sz w:val="24"/>
          <w:szCs w:val="24"/>
        </w:rPr>
      </w:pPr>
      <w:r w:rsidRPr="00FC71BF">
        <w:rPr>
          <w:rFonts w:ascii="Century Gothic" w:hAnsi="Century Gothic"/>
          <w:color w:val="000000"/>
          <w:sz w:val="24"/>
          <w:szCs w:val="24"/>
        </w:rPr>
        <w:t>Firma__________________________________________</w:t>
      </w:r>
    </w:p>
    <w:p w:rsidR="005435DF" w:rsidRPr="00FC71BF" w:rsidRDefault="005435DF" w:rsidP="005435DF">
      <w:pPr>
        <w:jc w:val="center"/>
        <w:rPr>
          <w:rFonts w:ascii="Century Gothic" w:hAnsi="Century Gothic"/>
          <w:color w:val="000000"/>
          <w:sz w:val="24"/>
          <w:szCs w:val="24"/>
        </w:rPr>
      </w:pPr>
      <w:r w:rsidRPr="00FC71BF">
        <w:rPr>
          <w:rFonts w:ascii="Century Gothic" w:hAnsi="Century Gothic"/>
          <w:color w:val="000000"/>
          <w:sz w:val="24"/>
          <w:szCs w:val="24"/>
        </w:rPr>
        <w:t>CONTRATADA</w:t>
      </w:r>
    </w:p>
    <w:p w:rsidR="005435DF" w:rsidRPr="00FC71BF" w:rsidRDefault="005435DF" w:rsidP="005435DF">
      <w:pPr>
        <w:rPr>
          <w:rFonts w:ascii="Century Gothic" w:hAnsi="Century Gothic"/>
          <w:color w:val="000000"/>
          <w:sz w:val="24"/>
          <w:szCs w:val="24"/>
        </w:rPr>
      </w:pPr>
    </w:p>
    <w:p w:rsidR="005435DF" w:rsidRPr="00FC71BF" w:rsidRDefault="005435DF" w:rsidP="005435DF">
      <w:pPr>
        <w:rPr>
          <w:rFonts w:ascii="Century Gothic" w:hAnsi="Century Gothic"/>
          <w:color w:val="000000"/>
          <w:sz w:val="24"/>
          <w:szCs w:val="24"/>
        </w:rPr>
      </w:pPr>
    </w:p>
    <w:p w:rsidR="005435DF" w:rsidRPr="00FC71BF" w:rsidRDefault="005435DF" w:rsidP="005435DF">
      <w:pPr>
        <w:rPr>
          <w:rFonts w:ascii="Century Gothic" w:hAnsi="Century Gothic"/>
          <w:color w:val="000000"/>
          <w:sz w:val="24"/>
          <w:szCs w:val="24"/>
        </w:rPr>
      </w:pPr>
    </w:p>
    <w:p w:rsidR="005435DF" w:rsidRDefault="005435DF" w:rsidP="005435DF">
      <w:pPr>
        <w:rPr>
          <w:rFonts w:ascii="Century Gothic" w:hAnsi="Century Gothic"/>
          <w:sz w:val="24"/>
          <w:szCs w:val="24"/>
        </w:rPr>
      </w:pPr>
      <w:r w:rsidRPr="00797CB3">
        <w:rPr>
          <w:rFonts w:ascii="Century Gothic" w:hAnsi="Century Gothic"/>
          <w:sz w:val="24"/>
          <w:szCs w:val="24"/>
        </w:rPr>
        <w:t xml:space="preserve">Testemunhas: </w:t>
      </w:r>
    </w:p>
    <w:p w:rsidR="005435DF" w:rsidRDefault="005435DF" w:rsidP="005435DF">
      <w:pPr>
        <w:rPr>
          <w:rFonts w:ascii="Century Gothic" w:hAnsi="Century Gothic"/>
          <w:sz w:val="24"/>
          <w:szCs w:val="24"/>
        </w:rPr>
      </w:pPr>
    </w:p>
    <w:p w:rsidR="005435DF" w:rsidRDefault="005435DF" w:rsidP="005435DF">
      <w:pPr>
        <w:rPr>
          <w:rFonts w:ascii="Century Gothic" w:hAnsi="Century Gothic"/>
          <w:sz w:val="24"/>
          <w:szCs w:val="24"/>
        </w:rPr>
      </w:pPr>
      <w:r>
        <w:rPr>
          <w:rFonts w:ascii="Century Gothic" w:hAnsi="Century Gothic"/>
          <w:sz w:val="24"/>
          <w:szCs w:val="24"/>
        </w:rPr>
        <w:t xml:space="preserve">Nome: </w:t>
      </w:r>
      <w:r w:rsidRPr="00797CB3">
        <w:rPr>
          <w:rFonts w:ascii="Century Gothic" w:hAnsi="Century Gothic"/>
          <w:sz w:val="24"/>
          <w:szCs w:val="24"/>
        </w:rPr>
        <w:t xml:space="preserve">_____________________________      </w:t>
      </w:r>
      <w:r>
        <w:rPr>
          <w:rFonts w:ascii="Century Gothic" w:hAnsi="Century Gothic"/>
          <w:sz w:val="24"/>
          <w:szCs w:val="24"/>
        </w:rPr>
        <w:t>CPF:</w:t>
      </w:r>
      <w:r w:rsidRPr="00797CB3">
        <w:rPr>
          <w:rFonts w:ascii="Century Gothic" w:hAnsi="Century Gothic"/>
          <w:sz w:val="24"/>
          <w:szCs w:val="24"/>
        </w:rPr>
        <w:t xml:space="preserve"> _____________________________  </w:t>
      </w:r>
    </w:p>
    <w:p w:rsidR="005435DF" w:rsidRPr="00797CB3" w:rsidRDefault="005435DF" w:rsidP="005435DF">
      <w:pPr>
        <w:rPr>
          <w:rFonts w:ascii="Century Gothic" w:hAnsi="Century Gothic"/>
          <w:sz w:val="24"/>
          <w:szCs w:val="24"/>
        </w:rPr>
      </w:pPr>
    </w:p>
    <w:p w:rsidR="005435DF" w:rsidRPr="00797CB3" w:rsidRDefault="005435DF" w:rsidP="005435DF">
      <w:pPr>
        <w:rPr>
          <w:rFonts w:ascii="Century Gothic" w:hAnsi="Century Gothic"/>
          <w:sz w:val="24"/>
          <w:szCs w:val="24"/>
        </w:rPr>
      </w:pPr>
    </w:p>
    <w:p w:rsidR="005435DF" w:rsidRPr="00797CB3" w:rsidRDefault="005435DF" w:rsidP="005435DF">
      <w:pPr>
        <w:rPr>
          <w:rFonts w:ascii="Century Gothic" w:hAnsi="Century Gothic"/>
          <w:sz w:val="24"/>
          <w:szCs w:val="24"/>
        </w:rPr>
      </w:pPr>
      <w:r>
        <w:rPr>
          <w:rFonts w:ascii="Century Gothic" w:hAnsi="Century Gothic"/>
          <w:sz w:val="24"/>
          <w:szCs w:val="24"/>
        </w:rPr>
        <w:t xml:space="preserve">Nome: </w:t>
      </w:r>
      <w:r w:rsidRPr="00797CB3">
        <w:rPr>
          <w:rFonts w:ascii="Century Gothic" w:hAnsi="Century Gothic"/>
          <w:sz w:val="24"/>
          <w:szCs w:val="24"/>
        </w:rPr>
        <w:t>____</w:t>
      </w:r>
      <w:r>
        <w:rPr>
          <w:rFonts w:ascii="Century Gothic" w:hAnsi="Century Gothic"/>
          <w:sz w:val="24"/>
          <w:szCs w:val="24"/>
        </w:rPr>
        <w:t xml:space="preserve">_________________________      CPF: </w:t>
      </w:r>
      <w:r w:rsidRPr="00797CB3">
        <w:rPr>
          <w:rFonts w:ascii="Century Gothic" w:hAnsi="Century Gothic"/>
          <w:sz w:val="24"/>
          <w:szCs w:val="24"/>
        </w:rPr>
        <w:t xml:space="preserve">_____________________________  </w:t>
      </w:r>
    </w:p>
    <w:p w:rsidR="005435DF" w:rsidRDefault="005435DF" w:rsidP="005435DF">
      <w:pPr>
        <w:pStyle w:val="WW-NormalWeb"/>
        <w:spacing w:before="0" w:after="0" w:line="200" w:lineRule="atLeast"/>
        <w:jc w:val="center"/>
        <w:rPr>
          <w:rFonts w:ascii="Century Gothic" w:hAnsi="Century Gothic"/>
          <w:b/>
          <w:bCs/>
        </w:rPr>
      </w:pPr>
    </w:p>
    <w:p w:rsidR="005435DF" w:rsidRPr="00FC71BF" w:rsidRDefault="005435DF" w:rsidP="005435DF">
      <w:pPr>
        <w:rPr>
          <w:rFonts w:ascii="Century Gothic" w:hAnsi="Century Gothic"/>
          <w:color w:val="000000"/>
          <w:sz w:val="24"/>
          <w:szCs w:val="24"/>
        </w:rPr>
      </w:pPr>
    </w:p>
    <w:p w:rsidR="005435DF" w:rsidRPr="00FC71BF" w:rsidRDefault="005435DF" w:rsidP="005435DF">
      <w:pPr>
        <w:rPr>
          <w:rFonts w:ascii="Century Gothic" w:hAnsi="Century Gothic"/>
          <w:color w:val="000000"/>
          <w:sz w:val="24"/>
          <w:szCs w:val="24"/>
        </w:rPr>
      </w:pPr>
    </w:p>
    <w:p w:rsidR="005435DF" w:rsidRPr="00FC71BF" w:rsidRDefault="005435DF" w:rsidP="005435DF">
      <w:pPr>
        <w:pStyle w:val="WW-NormalWeb"/>
        <w:spacing w:before="0" w:after="0" w:line="200" w:lineRule="atLeast"/>
        <w:jc w:val="center"/>
        <w:rPr>
          <w:rFonts w:ascii="Century Gothic" w:hAnsi="Century Gothic"/>
          <w:b/>
          <w:bCs/>
          <w:color w:val="000000"/>
        </w:rPr>
      </w:pPr>
    </w:p>
    <w:p w:rsidR="005435DF" w:rsidRPr="00FC71B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pStyle w:val="WW-NormalWeb"/>
        <w:spacing w:before="0" w:after="0" w:line="200" w:lineRule="atLeast"/>
        <w:jc w:val="center"/>
        <w:rPr>
          <w:rFonts w:ascii="Century Gothic" w:hAnsi="Century Gothic"/>
          <w:b/>
          <w:bCs/>
          <w:color w:val="000000"/>
        </w:rPr>
      </w:pPr>
    </w:p>
    <w:p w:rsidR="005435DF" w:rsidRPr="00FC71BF" w:rsidRDefault="005435DF" w:rsidP="005435DF">
      <w:pPr>
        <w:pStyle w:val="WW-NormalWeb"/>
        <w:spacing w:before="0" w:after="0" w:line="200" w:lineRule="atLeast"/>
        <w:jc w:val="center"/>
        <w:rPr>
          <w:rFonts w:ascii="Century Gothic" w:hAnsi="Century Gothic"/>
          <w:b/>
          <w:bCs/>
          <w:color w:val="000000"/>
        </w:rPr>
      </w:pPr>
    </w:p>
    <w:p w:rsidR="005435DF" w:rsidRDefault="005435DF" w:rsidP="005435DF">
      <w:pPr>
        <w:jc w:val="center"/>
        <w:rPr>
          <w:rFonts w:ascii="Arial Narrow" w:hAnsi="Arial Narrow"/>
          <w:b/>
          <w:sz w:val="28"/>
          <w:szCs w:val="28"/>
          <w:lang w:eastAsia="x-none"/>
        </w:rPr>
      </w:pPr>
      <w:r w:rsidRPr="00463279">
        <w:rPr>
          <w:rFonts w:ascii="Arial Narrow" w:hAnsi="Arial Narrow"/>
          <w:b/>
          <w:sz w:val="28"/>
          <w:szCs w:val="28"/>
          <w:lang w:eastAsia="x-none"/>
        </w:rPr>
        <w:lastRenderedPageBreak/>
        <w:t>ANEXO I</w:t>
      </w:r>
    </w:p>
    <w:p w:rsidR="005435DF" w:rsidRPr="00463279" w:rsidRDefault="005435DF" w:rsidP="005435DF">
      <w:pPr>
        <w:jc w:val="center"/>
        <w:rPr>
          <w:rFonts w:ascii="Arial Narrow" w:hAnsi="Arial Narrow"/>
          <w:b/>
          <w:sz w:val="28"/>
          <w:szCs w:val="28"/>
          <w:lang w:val="x-none" w:eastAsia="x-none"/>
        </w:rPr>
      </w:pPr>
    </w:p>
    <w:p w:rsidR="005435DF" w:rsidRDefault="005435DF" w:rsidP="005435DF">
      <w:pPr>
        <w:jc w:val="center"/>
        <w:rPr>
          <w:rFonts w:ascii="Arial Narrow" w:hAnsi="Arial Narrow"/>
          <w:b/>
          <w:sz w:val="28"/>
          <w:szCs w:val="28"/>
          <w:lang w:val="x-none" w:eastAsia="x-none"/>
        </w:rPr>
      </w:pPr>
      <w:r w:rsidRPr="00AC0B8E">
        <w:rPr>
          <w:rFonts w:ascii="Arial Narrow" w:hAnsi="Arial Narrow"/>
          <w:b/>
          <w:sz w:val="28"/>
          <w:szCs w:val="28"/>
          <w:lang w:val="x-none" w:eastAsia="x-none"/>
        </w:rPr>
        <w:t xml:space="preserve">ATA DE REGISTRO DE PREÇOS  </w:t>
      </w:r>
    </w:p>
    <w:p w:rsidR="005435DF" w:rsidRPr="00AC0B8E" w:rsidRDefault="005435DF" w:rsidP="005435DF">
      <w:pPr>
        <w:jc w:val="center"/>
        <w:rPr>
          <w:rFonts w:ascii="Arial Narrow" w:hAnsi="Arial Narrow"/>
          <w:b/>
          <w:sz w:val="28"/>
          <w:lang w:eastAsia="x-none"/>
        </w:rPr>
      </w:pPr>
    </w:p>
    <w:p w:rsidR="005435DF" w:rsidRDefault="005435DF" w:rsidP="005435DF">
      <w:pPr>
        <w:jc w:val="center"/>
        <w:rPr>
          <w:rFonts w:ascii="Arial Narrow" w:hAnsi="Arial Narrow"/>
          <w:b/>
          <w:sz w:val="28"/>
          <w:lang w:eastAsia="x-none"/>
        </w:rPr>
      </w:pPr>
      <w:proofErr w:type="spellStart"/>
      <w:r w:rsidRPr="00AC0B8E">
        <w:rPr>
          <w:rFonts w:ascii="Arial Narrow" w:hAnsi="Arial Narrow"/>
          <w:b/>
          <w:sz w:val="28"/>
          <w:lang w:val="x-none" w:eastAsia="x-none"/>
        </w:rPr>
        <w:t>Ref</w:t>
      </w:r>
      <w:proofErr w:type="spellEnd"/>
      <w:r w:rsidRPr="00AC0B8E">
        <w:rPr>
          <w:rFonts w:ascii="Arial Narrow" w:hAnsi="Arial Narrow"/>
          <w:b/>
          <w:sz w:val="28"/>
          <w:lang w:val="x-none" w:eastAsia="x-none"/>
        </w:rPr>
        <w:t xml:space="preserve">: Pregão Presencial </w:t>
      </w:r>
      <w:r w:rsidRPr="00AC0B8E">
        <w:rPr>
          <w:rFonts w:ascii="Arial Narrow" w:hAnsi="Arial Narrow"/>
          <w:b/>
          <w:sz w:val="28"/>
          <w:lang w:eastAsia="x-none"/>
        </w:rPr>
        <w:t xml:space="preserve"> Sistema de Registro de Preços </w:t>
      </w:r>
      <w:r>
        <w:rPr>
          <w:rFonts w:ascii="Arial Narrow" w:hAnsi="Arial Narrow"/>
          <w:b/>
          <w:sz w:val="28"/>
          <w:lang w:eastAsia="x-none"/>
        </w:rPr>
        <w:t>033</w:t>
      </w:r>
      <w:r w:rsidRPr="00AC0B8E">
        <w:rPr>
          <w:rFonts w:ascii="Arial Narrow" w:hAnsi="Arial Narrow"/>
          <w:b/>
          <w:sz w:val="28"/>
          <w:lang w:val="x-none" w:eastAsia="x-none"/>
        </w:rPr>
        <w:t>/201</w:t>
      </w:r>
      <w:r w:rsidRPr="00AC0B8E">
        <w:rPr>
          <w:rFonts w:ascii="Arial Narrow" w:hAnsi="Arial Narrow"/>
          <w:b/>
          <w:sz w:val="28"/>
          <w:lang w:eastAsia="x-none"/>
        </w:rPr>
        <w:t>5</w:t>
      </w:r>
      <w:r>
        <w:rPr>
          <w:rFonts w:ascii="Arial Narrow" w:hAnsi="Arial Narrow"/>
          <w:b/>
          <w:sz w:val="28"/>
          <w:lang w:eastAsia="x-none"/>
        </w:rPr>
        <w:t xml:space="preserve">, Processo </w:t>
      </w:r>
      <w:r>
        <w:rPr>
          <w:rFonts w:ascii="Arial Narrow" w:hAnsi="Arial Narrow"/>
          <w:b/>
          <w:sz w:val="28"/>
          <w:szCs w:val="28"/>
          <w:lang w:eastAsia="x-none"/>
        </w:rPr>
        <w:t>Nº 067</w:t>
      </w:r>
      <w:r w:rsidRPr="00AC0B8E">
        <w:rPr>
          <w:rFonts w:ascii="Arial Narrow" w:hAnsi="Arial Narrow"/>
          <w:b/>
          <w:sz w:val="28"/>
          <w:szCs w:val="28"/>
          <w:lang w:eastAsia="x-none"/>
        </w:rPr>
        <w:t>/2015</w:t>
      </w:r>
      <w:r>
        <w:rPr>
          <w:rFonts w:ascii="Arial Narrow" w:hAnsi="Arial Narrow"/>
          <w:b/>
          <w:sz w:val="28"/>
          <w:szCs w:val="28"/>
          <w:lang w:eastAsia="x-none"/>
        </w:rPr>
        <w:t>.</w:t>
      </w:r>
    </w:p>
    <w:p w:rsidR="005435DF" w:rsidRDefault="005435DF" w:rsidP="005435DF">
      <w:pPr>
        <w:jc w:val="center"/>
        <w:rPr>
          <w:rFonts w:ascii="Arial Narrow" w:hAnsi="Arial Narrow"/>
          <w:b/>
          <w:sz w:val="28"/>
          <w:lang w:eastAsia="x-none"/>
        </w:rPr>
      </w:pPr>
    </w:p>
    <w:p w:rsidR="005435DF" w:rsidRDefault="005435DF" w:rsidP="005435DF">
      <w:pPr>
        <w:tabs>
          <w:tab w:val="left" w:pos="2268"/>
        </w:tabs>
        <w:jc w:val="center"/>
        <w:rPr>
          <w:rFonts w:ascii="Arial Narrow" w:hAnsi="Arial Narrow"/>
          <w:b/>
          <w:sz w:val="24"/>
          <w:szCs w:val="24"/>
        </w:rPr>
      </w:pPr>
      <w:r w:rsidRPr="0071318F">
        <w:rPr>
          <w:rFonts w:ascii="Arial Narrow" w:hAnsi="Arial Narrow"/>
          <w:sz w:val="24"/>
          <w:szCs w:val="24"/>
        </w:rPr>
        <w:t>EMPRESA DETENTORA:</w:t>
      </w:r>
      <w:r w:rsidRPr="0071318F">
        <w:rPr>
          <w:rFonts w:ascii="Arial Narrow" w:hAnsi="Arial Narrow"/>
          <w:b/>
          <w:sz w:val="24"/>
          <w:szCs w:val="24"/>
        </w:rPr>
        <w:t xml:space="preserve"> </w:t>
      </w:r>
    </w:p>
    <w:p w:rsidR="005435DF" w:rsidRDefault="005435DF" w:rsidP="005435DF">
      <w:pPr>
        <w:tabs>
          <w:tab w:val="left" w:pos="2268"/>
        </w:tabs>
        <w:jc w:val="center"/>
        <w:rPr>
          <w:rFonts w:ascii="Arial Narrow" w:hAnsi="Arial Narrow"/>
          <w:b/>
          <w:sz w:val="24"/>
          <w:szCs w:val="24"/>
        </w:rPr>
      </w:pPr>
    </w:p>
    <w:p w:rsidR="00E41FF3" w:rsidRDefault="00E41FF3" w:rsidP="00E41FF3">
      <w:pPr>
        <w:jc w:val="center"/>
      </w:pPr>
      <w:r>
        <w:rPr>
          <w:rFonts w:ascii="Century Gothic" w:hAnsi="Century Gothic"/>
          <w:b/>
          <w:sz w:val="24"/>
          <w:szCs w:val="24"/>
        </w:rPr>
        <w:t>MED CENTER COMERCIAL LTDA</w:t>
      </w:r>
      <w:r>
        <w:rPr>
          <w:rFonts w:ascii="Century Gothic" w:hAnsi="Century Gothic"/>
          <w:b/>
          <w:sz w:val="24"/>
          <w:szCs w:val="24"/>
        </w:rPr>
        <w:t xml:space="preserve">, </w:t>
      </w:r>
      <w:r w:rsidRPr="000955A5">
        <w:rPr>
          <w:rFonts w:ascii="Century Gothic" w:eastAsiaTheme="minorEastAsia" w:hAnsi="Century Gothic" w:cs="Arial"/>
          <w:b/>
          <w:color w:val="000000"/>
          <w:sz w:val="24"/>
          <w:szCs w:val="24"/>
        </w:rPr>
        <w:t xml:space="preserve">CNPJ nº. </w:t>
      </w:r>
      <w:r w:rsidRPr="0088015D">
        <w:rPr>
          <w:rFonts w:ascii="Century Gothic" w:hAnsi="Century Gothic"/>
          <w:b/>
          <w:sz w:val="24"/>
          <w:szCs w:val="24"/>
        </w:rPr>
        <w:t>00.874.929/0001-40</w:t>
      </w:r>
    </w:p>
    <w:p w:rsidR="005435DF" w:rsidRPr="00681C77" w:rsidRDefault="005435DF" w:rsidP="005435DF">
      <w:pPr>
        <w:jc w:val="center"/>
        <w:rPr>
          <w:rFonts w:ascii="Century Gothic" w:eastAsiaTheme="minorEastAsia" w:hAnsi="Century Gothic" w:cs="Arial"/>
          <w:b/>
          <w:color w:val="000000"/>
          <w:sz w:val="24"/>
          <w:szCs w:val="24"/>
        </w:rPr>
      </w:pPr>
    </w:p>
    <w:p w:rsidR="007066FE" w:rsidRDefault="005435DF" w:rsidP="005435DF">
      <w:pPr>
        <w:jc w:val="center"/>
        <w:rPr>
          <w:noProof/>
        </w:rPr>
      </w:pPr>
      <w:r w:rsidRPr="00463279">
        <w:rPr>
          <w:rFonts w:ascii="Arial Narrow" w:hAnsi="Arial Narrow"/>
          <w:b/>
          <w:sz w:val="28"/>
          <w:lang w:val="x-none" w:eastAsia="x-none"/>
        </w:rPr>
        <w:t>PREÇOS REGISTRADOS PARA:</w:t>
      </w:r>
    </w:p>
    <w:p w:rsidR="007066FE" w:rsidRDefault="00E41FF3" w:rsidP="005435DF">
      <w:pPr>
        <w:jc w:val="center"/>
        <w:rPr>
          <w:noProof/>
        </w:rPr>
      </w:pPr>
      <w:r>
        <w:rPr>
          <w:noProof/>
        </w:rPr>
        <w:drawing>
          <wp:inline distT="0" distB="0" distL="0" distR="0" wp14:anchorId="08C86EC1" wp14:editId="34467E84">
            <wp:extent cx="6477000" cy="26289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717" t="20904" r="1824" b="8736"/>
                    <a:stretch/>
                  </pic:blipFill>
                  <pic:spPr bwMode="auto">
                    <a:xfrm>
                      <a:off x="0" y="0"/>
                      <a:ext cx="6477000" cy="2628900"/>
                    </a:xfrm>
                    <a:prstGeom prst="rect">
                      <a:avLst/>
                    </a:prstGeom>
                    <a:ln>
                      <a:noFill/>
                    </a:ln>
                    <a:extLst>
                      <a:ext uri="{53640926-AAD7-44D8-BBD7-CCE9431645EC}">
                        <a14:shadowObscured xmlns:a14="http://schemas.microsoft.com/office/drawing/2010/main"/>
                      </a:ext>
                    </a:extLst>
                  </pic:spPr>
                </pic:pic>
              </a:graphicData>
            </a:graphic>
          </wp:inline>
        </w:drawing>
      </w:r>
    </w:p>
    <w:p w:rsidR="007066FE" w:rsidRDefault="007066FE" w:rsidP="005435DF">
      <w:pPr>
        <w:jc w:val="center"/>
        <w:rPr>
          <w:noProof/>
        </w:rPr>
      </w:pPr>
      <w:r>
        <w:rPr>
          <w:noProof/>
        </w:rPr>
        <w:drawing>
          <wp:inline distT="0" distB="0" distL="0" distR="0" wp14:anchorId="18B67FCE" wp14:editId="37B02DDE">
            <wp:extent cx="6496050" cy="10287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573" t="53790" r="1682" b="18678"/>
                    <a:stretch/>
                  </pic:blipFill>
                  <pic:spPr bwMode="auto">
                    <a:xfrm>
                      <a:off x="0" y="0"/>
                      <a:ext cx="6496050" cy="1028700"/>
                    </a:xfrm>
                    <a:prstGeom prst="rect">
                      <a:avLst/>
                    </a:prstGeom>
                    <a:ln>
                      <a:noFill/>
                    </a:ln>
                    <a:extLst>
                      <a:ext uri="{53640926-AAD7-44D8-BBD7-CCE9431645EC}">
                        <a14:shadowObscured xmlns:a14="http://schemas.microsoft.com/office/drawing/2010/main"/>
                      </a:ext>
                    </a:extLst>
                  </pic:spPr>
                </pic:pic>
              </a:graphicData>
            </a:graphic>
          </wp:inline>
        </w:drawing>
      </w:r>
    </w:p>
    <w:p w:rsidR="005435DF" w:rsidRDefault="005435DF" w:rsidP="005435DF">
      <w:pPr>
        <w:jc w:val="center"/>
        <w:rPr>
          <w:noProof/>
        </w:rPr>
      </w:pPr>
    </w:p>
    <w:p w:rsidR="005435DF" w:rsidRDefault="005435DF" w:rsidP="005435DF">
      <w:pPr>
        <w:jc w:val="center"/>
        <w:rPr>
          <w:noProof/>
        </w:rPr>
      </w:pPr>
      <w:r w:rsidRPr="00194DDB">
        <w:rPr>
          <w:noProof/>
        </w:rPr>
        <w:t xml:space="preserve"> </w:t>
      </w:r>
    </w:p>
    <w:p w:rsidR="005435DF" w:rsidRDefault="005435DF" w:rsidP="005435DF">
      <w:pPr>
        <w:jc w:val="center"/>
        <w:rPr>
          <w:noProof/>
        </w:rPr>
      </w:pPr>
      <w:r w:rsidRPr="005844B7">
        <w:rPr>
          <w:noProof/>
        </w:rPr>
        <w:t xml:space="preserve"> </w:t>
      </w:r>
    </w:p>
    <w:p w:rsidR="005435DF" w:rsidRPr="00463279" w:rsidRDefault="005435DF" w:rsidP="005435DF">
      <w:pPr>
        <w:jc w:val="center"/>
        <w:rPr>
          <w:vanish/>
          <w:sz w:val="24"/>
          <w:szCs w:val="24"/>
        </w:rPr>
      </w:pPr>
    </w:p>
    <w:p w:rsidR="005435DF" w:rsidRPr="00463279" w:rsidRDefault="005435DF" w:rsidP="005435DF">
      <w:pPr>
        <w:rPr>
          <w:vanish/>
          <w:sz w:val="24"/>
          <w:szCs w:val="24"/>
        </w:rPr>
      </w:pPr>
    </w:p>
    <w:p w:rsidR="005435DF" w:rsidRPr="00463279" w:rsidRDefault="005435DF" w:rsidP="005435DF">
      <w:pPr>
        <w:jc w:val="center"/>
        <w:rPr>
          <w:rFonts w:ascii="Arial Narrow" w:hAnsi="Arial Narrow"/>
          <w:sz w:val="24"/>
          <w:szCs w:val="24"/>
        </w:rPr>
      </w:pPr>
      <w:r w:rsidRPr="00463279">
        <w:rPr>
          <w:rFonts w:ascii="Arial Narrow" w:hAnsi="Arial Narrow"/>
          <w:sz w:val="24"/>
          <w:szCs w:val="24"/>
        </w:rPr>
        <w:t xml:space="preserve">Conceição dos Ouros (MG), </w:t>
      </w:r>
      <w:r>
        <w:rPr>
          <w:rFonts w:ascii="Arial Narrow" w:hAnsi="Arial Narrow"/>
          <w:sz w:val="24"/>
          <w:szCs w:val="24"/>
        </w:rPr>
        <w:t>26</w:t>
      </w:r>
      <w:r w:rsidRPr="00463279">
        <w:rPr>
          <w:rFonts w:ascii="Arial Narrow" w:hAnsi="Arial Narrow"/>
          <w:sz w:val="24"/>
          <w:szCs w:val="24"/>
        </w:rPr>
        <w:t xml:space="preserve"> de </w:t>
      </w:r>
      <w:r>
        <w:rPr>
          <w:rFonts w:ascii="Arial Narrow" w:hAnsi="Arial Narrow"/>
          <w:sz w:val="24"/>
          <w:szCs w:val="24"/>
        </w:rPr>
        <w:t>Agosto</w:t>
      </w:r>
      <w:r w:rsidRPr="00463279">
        <w:rPr>
          <w:rFonts w:ascii="Arial Narrow" w:hAnsi="Arial Narrow"/>
          <w:sz w:val="24"/>
          <w:szCs w:val="24"/>
        </w:rPr>
        <w:t xml:space="preserve"> de 2015.</w:t>
      </w:r>
    </w:p>
    <w:p w:rsidR="005435DF" w:rsidRDefault="005435DF" w:rsidP="005435DF">
      <w:pPr>
        <w:rPr>
          <w:rFonts w:ascii="Arial Narrow" w:hAnsi="Arial Narrow"/>
          <w:sz w:val="24"/>
          <w:szCs w:val="24"/>
        </w:rPr>
      </w:pPr>
    </w:p>
    <w:p w:rsidR="005435DF" w:rsidRDefault="005435DF" w:rsidP="005435DF">
      <w:pPr>
        <w:rPr>
          <w:rFonts w:ascii="Arial Narrow" w:hAnsi="Arial Narrow"/>
          <w:sz w:val="24"/>
          <w:szCs w:val="24"/>
        </w:rPr>
      </w:pPr>
    </w:p>
    <w:p w:rsidR="005435DF" w:rsidRPr="00463279" w:rsidRDefault="005435DF" w:rsidP="005435DF">
      <w:pPr>
        <w:rPr>
          <w:rFonts w:ascii="Arial Narrow" w:hAnsi="Arial Narrow"/>
          <w:sz w:val="24"/>
          <w:szCs w:val="24"/>
        </w:rPr>
      </w:pPr>
    </w:p>
    <w:p w:rsidR="005435DF" w:rsidRPr="00463279" w:rsidRDefault="005435DF" w:rsidP="005435DF">
      <w:pPr>
        <w:jc w:val="center"/>
        <w:rPr>
          <w:rFonts w:ascii="Arial Narrow" w:hAnsi="Arial Narrow"/>
          <w:sz w:val="24"/>
          <w:szCs w:val="24"/>
        </w:rPr>
      </w:pPr>
    </w:p>
    <w:p w:rsidR="005435DF" w:rsidRPr="00463279" w:rsidRDefault="005435DF" w:rsidP="005435DF">
      <w:pPr>
        <w:jc w:val="center"/>
        <w:rPr>
          <w:rFonts w:ascii="Arial Narrow" w:hAnsi="Arial Narrow"/>
          <w:sz w:val="24"/>
          <w:szCs w:val="24"/>
        </w:rPr>
      </w:pPr>
      <w:r w:rsidRPr="00463279">
        <w:rPr>
          <w:rFonts w:ascii="Arial Narrow" w:hAnsi="Arial Narrow"/>
          <w:sz w:val="24"/>
          <w:szCs w:val="24"/>
        </w:rPr>
        <w:t xml:space="preserve">PREFEITURA MUNICIPAL DE CONCEIÇÃO DOS OUROS </w:t>
      </w:r>
    </w:p>
    <w:p w:rsidR="005435DF" w:rsidRPr="00463279" w:rsidRDefault="005435DF" w:rsidP="005435DF">
      <w:pPr>
        <w:jc w:val="center"/>
        <w:rPr>
          <w:rFonts w:ascii="Arial Narrow" w:hAnsi="Arial Narrow"/>
          <w:sz w:val="24"/>
          <w:szCs w:val="24"/>
        </w:rPr>
      </w:pPr>
      <w:r w:rsidRPr="00463279">
        <w:rPr>
          <w:rFonts w:ascii="Arial Narrow" w:hAnsi="Arial Narrow"/>
          <w:sz w:val="24"/>
          <w:szCs w:val="24"/>
        </w:rPr>
        <w:t>Maurício Euclides Viana - PREFEITO MUNICIPAL</w:t>
      </w:r>
    </w:p>
    <w:p w:rsidR="005435DF" w:rsidRDefault="005435DF" w:rsidP="005435DF">
      <w:pPr>
        <w:jc w:val="center"/>
        <w:rPr>
          <w:rFonts w:ascii="Arial Narrow" w:hAnsi="Arial Narrow"/>
          <w:sz w:val="24"/>
          <w:szCs w:val="24"/>
        </w:rPr>
      </w:pPr>
    </w:p>
    <w:p w:rsidR="005435DF" w:rsidRDefault="005435DF" w:rsidP="005435DF">
      <w:pPr>
        <w:jc w:val="center"/>
        <w:rPr>
          <w:rFonts w:ascii="Arial Narrow" w:hAnsi="Arial Narrow"/>
          <w:sz w:val="24"/>
          <w:szCs w:val="24"/>
        </w:rPr>
      </w:pPr>
    </w:p>
    <w:p w:rsidR="005435DF" w:rsidRPr="00EE7FD2" w:rsidRDefault="005435DF" w:rsidP="005435DF">
      <w:pPr>
        <w:jc w:val="center"/>
        <w:rPr>
          <w:rFonts w:ascii="Arial Narrow" w:hAnsi="Arial Narrow"/>
          <w:b/>
          <w:sz w:val="24"/>
          <w:szCs w:val="24"/>
        </w:rPr>
      </w:pPr>
    </w:p>
    <w:p w:rsidR="00E41FF3" w:rsidRDefault="00E41FF3" w:rsidP="00E41FF3">
      <w:pPr>
        <w:jc w:val="center"/>
        <w:rPr>
          <w:rFonts w:ascii="Century Gothic" w:hAnsi="Century Gothic"/>
          <w:b/>
          <w:sz w:val="24"/>
          <w:szCs w:val="24"/>
        </w:rPr>
      </w:pPr>
      <w:r>
        <w:rPr>
          <w:rFonts w:ascii="Century Gothic" w:hAnsi="Century Gothic"/>
          <w:b/>
          <w:sz w:val="24"/>
          <w:szCs w:val="24"/>
        </w:rPr>
        <w:t>MED CENTER COMERCIAL LTDA</w:t>
      </w:r>
    </w:p>
    <w:p w:rsidR="005435DF" w:rsidRDefault="00E41FF3" w:rsidP="007066FE">
      <w:pPr>
        <w:jc w:val="center"/>
      </w:pPr>
      <w:r w:rsidRPr="000955A5">
        <w:rPr>
          <w:rFonts w:ascii="Century Gothic" w:eastAsiaTheme="minorEastAsia" w:hAnsi="Century Gothic" w:cs="Arial"/>
          <w:b/>
          <w:color w:val="000000"/>
          <w:sz w:val="24"/>
          <w:szCs w:val="24"/>
        </w:rPr>
        <w:t xml:space="preserve">CNPJ nº. </w:t>
      </w:r>
      <w:r w:rsidRPr="0088015D">
        <w:rPr>
          <w:rFonts w:ascii="Century Gothic" w:hAnsi="Century Gothic"/>
          <w:b/>
          <w:sz w:val="24"/>
          <w:szCs w:val="24"/>
        </w:rPr>
        <w:t>00.874.929/0001-40</w:t>
      </w:r>
    </w:p>
    <w:p w:rsidR="00BF3C89" w:rsidRDefault="00BF3C89"/>
    <w:sectPr w:rsidR="00BF3C89" w:rsidSect="00F17F4B">
      <w:headerReference w:type="default" r:id="rId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7F4B" w:rsidRDefault="007066FE" w:rsidP="00F17F4B">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14:anchorId="013722CE" wp14:editId="3B3EFBF9">
          <wp:simplePos x="0" y="0"/>
          <wp:positionH relativeFrom="column">
            <wp:posOffset>-217170</wp:posOffset>
          </wp:positionH>
          <wp:positionV relativeFrom="paragraph">
            <wp:posOffset>-158750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Black" w:hAnsi="Arial Black"/>
        <w:b/>
        <w:spacing w:val="20"/>
        <w:sz w:val="24"/>
      </w:rPr>
      <w:t>PREFEITURA MUNICIPAL DE CONCEIÇÃO DOS OUROS</w:t>
    </w:r>
  </w:p>
  <w:p w:rsidR="00F17F4B" w:rsidRDefault="007066FE" w:rsidP="00F17F4B">
    <w:pPr>
      <w:pStyle w:val="Cabealho"/>
      <w:jc w:val="center"/>
      <w:rPr>
        <w:rFonts w:ascii="Arial Black" w:hAnsi="Arial Black"/>
        <w:b/>
        <w:sz w:val="22"/>
      </w:rPr>
    </w:pPr>
    <w:r>
      <w:rPr>
        <w:rFonts w:ascii="Arial Black" w:hAnsi="Arial Black"/>
        <w:b/>
      </w:rPr>
      <w:t>__________________ESTADO DE MINAS GERAIS_________________</w:t>
    </w:r>
  </w:p>
  <w:p w:rsidR="00F17F4B" w:rsidRDefault="007066FE" w:rsidP="00F17F4B">
    <w:pPr>
      <w:pStyle w:val="Cabealho"/>
      <w:jc w:val="center"/>
      <w:rPr>
        <w:rFonts w:ascii="Arial" w:hAnsi="Arial" w:cs="Arial"/>
      </w:rPr>
    </w:pPr>
    <w:r>
      <w:rPr>
        <w:rFonts w:ascii="Arial" w:hAnsi="Arial" w:cs="Arial"/>
      </w:rPr>
      <w:t>Praça José Maria de Souza, 01, Centro – CEP: 37.548-000 – Conceição dos Ouros - MG</w:t>
    </w:r>
  </w:p>
  <w:p w:rsidR="00F17F4B" w:rsidRPr="00797CB3" w:rsidRDefault="007066FE" w:rsidP="00F17F4B">
    <w:pPr>
      <w:pStyle w:val="Cabealho"/>
      <w:rPr>
        <w:rFonts w:ascii="Calibri" w:hAnsi="Calibri"/>
        <w:sz w:val="22"/>
      </w:rPr>
    </w:pPr>
    <w:r>
      <w:rPr>
        <w:rFonts w:ascii="Arial" w:hAnsi="Arial" w:cs="Arial"/>
      </w:rPr>
      <w:t xml:space="preserve">                                    Tel.: (35) 3653-1220 – E-mail: prefeitura@conceicaodosouros.mg.gov.br</w:t>
    </w:r>
  </w:p>
  <w:p w:rsidR="00F17F4B" w:rsidRDefault="007066F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5DF"/>
    <w:rsid w:val="00095FC3"/>
    <w:rsid w:val="005435DF"/>
    <w:rsid w:val="007066FE"/>
    <w:rsid w:val="00BF3C89"/>
    <w:rsid w:val="00E41F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53E3FB-0CEF-4CD8-ABE3-62141AF7F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5DF"/>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435DF"/>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435DF"/>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5435DF"/>
    <w:pPr>
      <w:suppressAutoHyphens/>
      <w:spacing w:before="280" w:after="280"/>
    </w:pPr>
    <w:rPr>
      <w:sz w:val="24"/>
      <w:szCs w:val="24"/>
      <w:lang w:eastAsia="ar-SA"/>
    </w:rPr>
  </w:style>
  <w:style w:type="paragraph" w:styleId="Ttulo">
    <w:name w:val="Title"/>
    <w:basedOn w:val="Normal"/>
    <w:link w:val="TtuloChar"/>
    <w:qFormat/>
    <w:rsid w:val="005435DF"/>
    <w:pPr>
      <w:ind w:left="1134"/>
      <w:jc w:val="center"/>
    </w:pPr>
    <w:rPr>
      <w:b/>
      <w:sz w:val="28"/>
      <w:lang w:val="x-none" w:eastAsia="x-none"/>
    </w:rPr>
  </w:style>
  <w:style w:type="character" w:customStyle="1" w:styleId="TtuloChar">
    <w:name w:val="Título Char"/>
    <w:basedOn w:val="Fontepargpadro"/>
    <w:link w:val="Ttulo"/>
    <w:rsid w:val="005435DF"/>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435DF"/>
    <w:pPr>
      <w:spacing w:after="120"/>
    </w:pPr>
    <w:rPr>
      <w:sz w:val="16"/>
      <w:szCs w:val="16"/>
      <w:lang w:val="x-none" w:eastAsia="x-none"/>
    </w:rPr>
  </w:style>
  <w:style w:type="character" w:customStyle="1" w:styleId="Corpodetexto3Char">
    <w:name w:val="Corpo de texto 3 Char"/>
    <w:basedOn w:val="Fontepargpadro"/>
    <w:link w:val="Corpodetexto3"/>
    <w:rsid w:val="005435DF"/>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435DF"/>
    <w:pPr>
      <w:tabs>
        <w:tab w:val="center" w:pos="4252"/>
        <w:tab w:val="right" w:pos="8504"/>
      </w:tabs>
    </w:pPr>
  </w:style>
  <w:style w:type="character" w:customStyle="1" w:styleId="CabealhoChar">
    <w:name w:val="Cabeçalho Char"/>
    <w:basedOn w:val="Fontepargpadro"/>
    <w:link w:val="Cabealho"/>
    <w:uiPriority w:val="99"/>
    <w:rsid w:val="005435DF"/>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2.png"/><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1814</Words>
  <Characters>9800</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2015-09-14T19:02:00Z</dcterms:created>
  <dcterms:modified xsi:type="dcterms:W3CDTF">2015-09-14T19:30:00Z</dcterms:modified>
</cp:coreProperties>
</file>